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6E0FB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Pr="003836C7" w:rsidRDefault="008E3A69" w:rsidP="006E0F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Adelaide</w:t>
      </w:r>
    </w:p>
    <w:p w:rsidR="00BF1EC3" w:rsidRP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011BBB" w:rsidP="00D448C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Labour Force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</w:t>
      </w:r>
      <w:r w:rsidR="00276567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persons aged 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</w:t>
      </w:r>
      <w:r w:rsidR="009C247B" w:rsidRPr="00FA0FFA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12"/>
        <w:gridCol w:w="2007"/>
        <w:gridCol w:w="1081"/>
        <w:gridCol w:w="1328"/>
      </w:tblGrid>
      <w:tr w:rsidR="00276567" w:rsidRPr="002E42CC" w:rsidTr="00102354"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Pr="002E42CC" w:rsidRDefault="00276567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89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2E42CC" w:rsidTr="00102354">
        <w:tc>
          <w:tcPr>
            <w:tcW w:w="198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F75D9" w:rsidRDefault="00276567" w:rsidP="001B6491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276567" w:rsidRPr="00594664" w:rsidRDefault="00276567" w:rsidP="00B8131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76567" w:rsidRPr="00594664" w:rsidRDefault="00276567" w:rsidP="00B8131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center"/>
          </w:tcPr>
          <w:p w:rsidR="00276567" w:rsidRPr="00594664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center"/>
          </w:tcPr>
          <w:p w:rsidR="00276567" w:rsidRPr="00594664" w:rsidRDefault="00276567" w:rsidP="00B8131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</w:tcPr>
          <w:p w:rsidR="00276567" w:rsidRPr="00594664" w:rsidRDefault="00276567" w:rsidP="00B8131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center"/>
          </w:tcPr>
          <w:p w:rsidR="00276567" w:rsidRPr="00594664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8E3A69" w:rsidRPr="002E42CC" w:rsidTr="00102354">
        <w:tc>
          <w:tcPr>
            <w:tcW w:w="1985" w:type="dxa"/>
            <w:shd w:val="clear" w:color="auto" w:fill="8DB3E2" w:themeFill="text2" w:themeFillTint="66"/>
            <w:vAlign w:val="bottom"/>
          </w:tcPr>
          <w:p w:rsidR="008E3A69" w:rsidRPr="00B81315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8131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in labour force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53F3">
              <w:rPr>
                <w:rFonts w:ascii="Arial" w:hAnsi="Arial" w:cs="Arial"/>
                <w:color w:val="000000"/>
                <w:sz w:val="18"/>
                <w:szCs w:val="18"/>
              </w:rPr>
              <w:t>612,225 (60.7%)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53F3">
              <w:rPr>
                <w:rFonts w:ascii="Arial" w:hAnsi="Arial" w:cs="Arial"/>
                <w:color w:val="000000" w:themeColor="text1"/>
                <w:sz w:val="18"/>
                <w:szCs w:val="18"/>
              </w:rPr>
              <w:t>52.6%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563</w:t>
            </w:r>
            <w:r w:rsidR="003C4AEC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777</w:t>
            </w:r>
            <w:r w:rsidRPr="00DD53F3">
              <w:rPr>
                <w:rFonts w:ascii="Arial" w:hAnsi="Arial" w:cs="Arial"/>
                <w:color w:val="000000"/>
                <w:sz w:val="18"/>
                <w:szCs w:val="18"/>
              </w:rPr>
              <w:t xml:space="preserve"> (59.5%)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53.2</w:t>
            </w:r>
            <w:r w:rsidRPr="00DD53F3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46.8%</w:t>
            </w:r>
          </w:p>
        </w:tc>
      </w:tr>
      <w:tr w:rsidR="008E3A69" w:rsidRPr="002E42CC" w:rsidTr="00102354">
        <w:tc>
          <w:tcPr>
            <w:tcW w:w="1985" w:type="dxa"/>
            <w:shd w:val="clear" w:color="auto" w:fill="8DB3E2" w:themeFill="text2" w:themeFillTint="66"/>
            <w:vAlign w:val="bottom"/>
          </w:tcPr>
          <w:p w:rsidR="008E3A69" w:rsidRPr="00B81315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8131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Employed full-time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348,427 (34.5%)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53F3">
              <w:rPr>
                <w:rFonts w:ascii="Arial" w:hAnsi="Arial" w:cs="Arial"/>
                <w:color w:val="000000" w:themeColor="text1"/>
                <w:sz w:val="18"/>
                <w:szCs w:val="18"/>
              </w:rPr>
              <w:t>64.2%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35.8%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330</w:t>
            </w:r>
            <w:r w:rsidR="003C4AEC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755 (34.9%)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64.7%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35.3%</w:t>
            </w:r>
          </w:p>
        </w:tc>
      </w:tr>
      <w:tr w:rsidR="008E3A69" w:rsidRPr="002E42CC" w:rsidTr="00102354">
        <w:tc>
          <w:tcPr>
            <w:tcW w:w="1985" w:type="dxa"/>
            <w:shd w:val="clear" w:color="auto" w:fill="8DB3E2" w:themeFill="text2" w:themeFillTint="66"/>
            <w:vAlign w:val="bottom"/>
          </w:tcPr>
          <w:p w:rsidR="008E3A69" w:rsidRPr="00B81315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8131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Employed part-time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193,319 (19.2%)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32.2%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67.8%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170</w:t>
            </w:r>
            <w:r w:rsidR="003C4AEC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088 (17.9%)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30.8%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69.2%</w:t>
            </w:r>
          </w:p>
        </w:tc>
      </w:tr>
      <w:tr w:rsidR="008E3A69" w:rsidRPr="002E42CC" w:rsidTr="00102354">
        <w:tc>
          <w:tcPr>
            <w:tcW w:w="1985" w:type="dxa"/>
            <w:shd w:val="clear" w:color="auto" w:fill="8DB3E2" w:themeFill="text2" w:themeFillTint="66"/>
            <w:vAlign w:val="bottom"/>
          </w:tcPr>
          <w:p w:rsidR="008E3A69" w:rsidRPr="00B81315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8131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Unemployed, looking for work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35,403 (3.5%)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54.9%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45.1%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29</w:t>
            </w:r>
            <w:r w:rsidR="003C4AEC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159 (3.1%)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</w:tr>
      <w:tr w:rsidR="008E3A69" w:rsidRPr="002E42CC" w:rsidTr="00102354">
        <w:tc>
          <w:tcPr>
            <w:tcW w:w="1985" w:type="dxa"/>
            <w:shd w:val="clear" w:color="auto" w:fill="8DB3E2" w:themeFill="text2" w:themeFillTint="66"/>
            <w:vAlign w:val="bottom"/>
          </w:tcPr>
          <w:p w:rsidR="008E3A69" w:rsidRPr="00B81315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8131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Population not in the labour force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352,642 (35.0%)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41.0%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59.0%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336</w:t>
            </w:r>
            <w:r w:rsidR="003C4AEC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517 (35.5%)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39.8%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60.2%</w:t>
            </w:r>
          </w:p>
        </w:tc>
      </w:tr>
      <w:tr w:rsidR="008E3A69" w:rsidRPr="002E42CC" w:rsidTr="00102354">
        <w:tc>
          <w:tcPr>
            <w:tcW w:w="198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8E3A69" w:rsidRPr="00B81315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8131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1,008,605 (100%)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48.5%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51.5%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948</w:t>
            </w:r>
            <w:r w:rsidR="003C4AEC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072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48.3%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51.7%</w:t>
            </w:r>
          </w:p>
        </w:tc>
      </w:tr>
    </w:tbl>
    <w:p w:rsidR="009C247B" w:rsidRPr="00B81315" w:rsidRDefault="009C247B" w:rsidP="002A47EB">
      <w:pPr>
        <w:rPr>
          <w:rFonts w:ascii="Arial" w:hAnsi="Arial" w:cs="Arial"/>
          <w:b/>
          <w:sz w:val="18"/>
          <w:szCs w:val="18"/>
        </w:rPr>
      </w:pPr>
    </w:p>
    <w:p w:rsidR="008E3A69" w:rsidRDefault="008E3A69" w:rsidP="008E3A6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In 2011, 6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0.7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%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reported being in the labour force in Greater Adelaid</w:t>
      </w:r>
      <w:r w:rsidR="0011409D">
        <w:rPr>
          <w:rFonts w:ascii="Arial" w:hAnsi="Arial" w:cs="Arial"/>
          <w:b/>
          <w:color w:val="4F81BD" w:themeColor="accent1"/>
          <w:sz w:val="18"/>
          <w:szCs w:val="18"/>
        </w:rPr>
        <w:t>e. This is similar to 2006 when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59.5% of persons reported being in the labour force.</w:t>
      </w:r>
    </w:p>
    <w:p w:rsidR="008E3A69" w:rsidRDefault="008E3A69" w:rsidP="008E3A6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In 2011, 35.0% of persons aged 15 years and over reported not being</w:t>
      </w:r>
      <w:r w:rsidR="00E51DB8">
        <w:rPr>
          <w:rFonts w:ascii="Arial" w:hAnsi="Arial" w:cs="Arial"/>
          <w:b/>
          <w:color w:val="4F81BD" w:themeColor="accent1"/>
          <w:sz w:val="18"/>
          <w:szCs w:val="18"/>
        </w:rPr>
        <w:t xml:space="preserve"> in the labour force. 3.5% of persons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</w:t>
      </w:r>
      <w:r w:rsidR="00E51DB8">
        <w:rPr>
          <w:rFonts w:ascii="Arial" w:hAnsi="Arial" w:cs="Arial"/>
          <w:b/>
          <w:color w:val="4F81BD" w:themeColor="accent1"/>
          <w:sz w:val="18"/>
          <w:szCs w:val="18"/>
        </w:rPr>
        <w:t>that they were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unemployed and looking for work.</w:t>
      </w:r>
    </w:p>
    <w:p w:rsidR="008E3A69" w:rsidRDefault="008E3A69" w:rsidP="008E3A6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full time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 64.2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% we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 males and 35.8% were females.</w:t>
      </w:r>
    </w:p>
    <w:p w:rsidR="008E3A69" w:rsidRDefault="008E3A69" w:rsidP="008E3A6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part-time, 32.2% were males and 67.8% were females.</w:t>
      </w:r>
    </w:p>
    <w:p w:rsidR="002A47EB" w:rsidRPr="002A47EB" w:rsidRDefault="002A47EB" w:rsidP="008E3A69">
      <w:pPr>
        <w:pStyle w:val="ListParagraph"/>
        <w:rPr>
          <w:rFonts w:ascii="Arial" w:hAnsi="Arial" w:cs="Arial"/>
          <w:b/>
        </w:rPr>
      </w:pPr>
    </w:p>
    <w:p w:rsidR="005D2C2E" w:rsidRPr="00433831" w:rsidRDefault="00011BBB" w:rsidP="00011BBB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Weekly Hours Worked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(employed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06"/>
        <w:gridCol w:w="1871"/>
        <w:gridCol w:w="1276"/>
        <w:gridCol w:w="1275"/>
      </w:tblGrid>
      <w:tr w:rsidR="005D2C2E" w:rsidRPr="002E42CC" w:rsidTr="001B6491"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D2C2E" w:rsidRPr="002E42CC" w:rsidRDefault="005D2C2E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083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22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2006</w:t>
            </w:r>
          </w:p>
        </w:tc>
      </w:tr>
      <w:tr w:rsidR="00011BBB" w:rsidRPr="002E42CC" w:rsidTr="00B81315">
        <w:tc>
          <w:tcPr>
            <w:tcW w:w="1985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11BBB" w:rsidRPr="000A21E0" w:rsidRDefault="00011BBB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011BBB" w:rsidRPr="002E42CC" w:rsidRDefault="00011BBB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011BBB" w:rsidRPr="002E42CC" w:rsidRDefault="00011BBB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6" w:type="dxa"/>
            <w:shd w:val="clear" w:color="auto" w:fill="8DB3E2" w:themeFill="text2" w:themeFillTint="66"/>
            <w:vAlign w:val="center"/>
          </w:tcPr>
          <w:p w:rsidR="00011BBB" w:rsidRPr="002E42CC" w:rsidRDefault="00011BBB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71" w:type="dxa"/>
            <w:shd w:val="clear" w:color="auto" w:fill="8DB3E2" w:themeFill="text2" w:themeFillTint="66"/>
            <w:vAlign w:val="center"/>
          </w:tcPr>
          <w:p w:rsidR="00011BBB" w:rsidRPr="002E42CC" w:rsidRDefault="00011BBB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11BBB" w:rsidRPr="002E42CC" w:rsidRDefault="00011BBB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011BBB" w:rsidRPr="002E42CC" w:rsidRDefault="00011BBB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</w:tr>
      <w:tr w:rsidR="008E3A69" w:rsidRPr="002E42CC" w:rsidTr="00B81315">
        <w:tc>
          <w:tcPr>
            <w:tcW w:w="1985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 hours and above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227,070 (39.4%)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70.0%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222,797 (41.7%)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70.1%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29.9%</w:t>
            </w:r>
          </w:p>
        </w:tc>
      </w:tr>
      <w:tr w:rsidR="008E3A69" w:rsidRPr="002E42CC" w:rsidTr="00B81315">
        <w:tc>
          <w:tcPr>
            <w:tcW w:w="1985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35-39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121,355 (21.0%)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53.5%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46.5%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107,964 (20.2%)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</w:tr>
      <w:tr w:rsidR="008E3A69" w:rsidRPr="002E42CC" w:rsidTr="00B81315">
        <w:tc>
          <w:tcPr>
            <w:tcW w:w="1985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25-34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67,659 (11.7%)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32.9%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67.1%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59,317 (11.1%)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31.6%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68.4%</w:t>
            </w:r>
          </w:p>
        </w:tc>
      </w:tr>
      <w:tr w:rsidR="008E3A69" w:rsidRPr="002E42CC" w:rsidTr="00B81315">
        <w:tc>
          <w:tcPr>
            <w:tcW w:w="1985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16-24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56,683 (9.8%)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29.2%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70.8%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49,050 (9.2%)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27.5%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72.5%</w:t>
            </w:r>
          </w:p>
        </w:tc>
      </w:tr>
      <w:tr w:rsidR="008E3A69" w:rsidRPr="002E42CC" w:rsidTr="00B81315">
        <w:tc>
          <w:tcPr>
            <w:tcW w:w="1985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0-15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93,477 (16.2%)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36.4%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63.6%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82,313 (15.4%)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36.0%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64.0%</w:t>
            </w:r>
          </w:p>
        </w:tc>
      </w:tr>
      <w:tr w:rsidR="008E3A69" w:rsidRPr="002E42CC" w:rsidTr="00B81315">
        <w:tc>
          <w:tcPr>
            <w:tcW w:w="1985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576,823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52.5%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47.5%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534,621 (100%)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47.0%</w:t>
            </w:r>
          </w:p>
        </w:tc>
      </w:tr>
    </w:tbl>
    <w:p w:rsidR="00E82BBF" w:rsidRDefault="00E82BBF" w:rsidP="00E82BBF">
      <w:pPr>
        <w:pStyle w:val="ListParagraph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8E3A69" w:rsidRPr="00FD44DB" w:rsidRDefault="008E3A69" w:rsidP="008E3A69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39.4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% of those who were employed and aged 15 years and over reported working 40 hours or more in the week prior to Census. A higher proportion of these were males (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70.0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%).</w:t>
      </w:r>
    </w:p>
    <w:p w:rsidR="008E3A69" w:rsidRDefault="008E3A69" w:rsidP="008E3A6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Between the 2006 and 2011 Census there was a 2.3 percen</w:t>
      </w:r>
      <w:r w:rsidR="008A2CB0">
        <w:rPr>
          <w:rFonts w:ascii="Arial" w:hAnsi="Arial" w:cs="Arial"/>
          <w:b/>
          <w:color w:val="4F81BD" w:themeColor="accent1"/>
          <w:sz w:val="18"/>
          <w:szCs w:val="18"/>
        </w:rPr>
        <w:t>tage point decline in the proportion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of persons who reported working 40 hours or more (41.7% in 2006 compared to 39.4% in 2011).</w:t>
      </w:r>
    </w:p>
    <w:p w:rsidR="008E3A69" w:rsidRPr="00830121" w:rsidRDefault="00587BA7" w:rsidP="008E3A6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In 2011, 16.2% of employed persons aged 15 years and over</w:t>
      </w:r>
      <w:r w:rsidR="008E3A69"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working 0 to 15 hours in the week prior to Census. A higher proportion of these were females (63.6%).</w:t>
      </w:r>
    </w:p>
    <w:p w:rsidR="009C247B" w:rsidRDefault="009C247B" w:rsidP="002A47EB">
      <w:pPr>
        <w:rPr>
          <w:rFonts w:ascii="Arial" w:hAnsi="Arial" w:cs="Arial"/>
          <w:b/>
        </w:rPr>
      </w:pPr>
    </w:p>
    <w:p w:rsidR="00CE1624" w:rsidRDefault="00CE1624" w:rsidP="008E3A69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B81315" w:rsidRDefault="00B81315" w:rsidP="008E3A69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28598D" w:rsidRDefault="0028598D" w:rsidP="008E3A69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28598D" w:rsidRPr="00726F2A" w:rsidRDefault="0028598D" w:rsidP="008E3A69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BF1EC3" w:rsidRDefault="00BF1EC3" w:rsidP="008E3A69">
      <w:pPr>
        <w:spacing w:after="0"/>
        <w:rPr>
          <w:rFonts w:ascii="Arial" w:hAnsi="Arial" w:cs="Arial"/>
          <w:b/>
          <w:sz w:val="28"/>
          <w:szCs w:val="28"/>
        </w:rPr>
      </w:pPr>
    </w:p>
    <w:p w:rsidR="00BF1EC3" w:rsidRDefault="008E3A69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Adelaide</w:t>
      </w:r>
    </w:p>
    <w:p w:rsidR="00BF1EC3" w:rsidRP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27431A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3E6C00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>Industries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993"/>
        <w:gridCol w:w="1275"/>
        <w:gridCol w:w="1843"/>
        <w:gridCol w:w="851"/>
        <w:gridCol w:w="1275"/>
      </w:tblGrid>
      <w:tr w:rsidR="00276567" w:rsidRPr="008B58A5" w:rsidTr="0096490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3"/>
            <w:shd w:val="clear" w:color="auto" w:fill="548DD4" w:themeFill="text2" w:themeFillTint="99"/>
          </w:tcPr>
          <w:p w:rsidR="00276567" w:rsidRPr="002E42CC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964903" w:rsidRPr="008B58A5" w:rsidTr="00B81315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8E3A69" w:rsidRPr="008B58A5" w:rsidTr="00102354">
        <w:tc>
          <w:tcPr>
            <w:tcW w:w="226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Health Care and Social Assistance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81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960 (14.2%)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21.9%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78.1%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81315" w:rsidRPr="00DD53F3" w:rsidRDefault="00B81315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70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436 (13.2%)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22.1%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77.9%</w:t>
            </w:r>
          </w:p>
        </w:tc>
      </w:tr>
      <w:tr w:rsidR="008E3A69" w:rsidRPr="008B58A5" w:rsidTr="00102354">
        <w:tc>
          <w:tcPr>
            <w:tcW w:w="226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 xml:space="preserve">Retail Trade 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65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529 (11.4%)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44.3%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55.7%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E3A69" w:rsidRPr="00DD53F3" w:rsidRDefault="00C66E03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64,197(12.0%)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44.2%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55.8%</w:t>
            </w:r>
          </w:p>
        </w:tc>
      </w:tr>
      <w:tr w:rsidR="008E3A69" w:rsidRPr="008B58A5" w:rsidTr="00102354">
        <w:tc>
          <w:tcPr>
            <w:tcW w:w="226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Manufacturing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59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750 (10.4%)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75.8%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24.2%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68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796 (12.9%)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75.5%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24.5%</w:t>
            </w:r>
          </w:p>
        </w:tc>
      </w:tr>
      <w:tr w:rsidR="008E3A69" w:rsidRPr="008B58A5" w:rsidTr="00102354">
        <w:tc>
          <w:tcPr>
            <w:tcW w:w="226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 xml:space="preserve"> Education and Training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218 (8.2%)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32.4%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67.6%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41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826 (7.8%)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32.8%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67.2%</w:t>
            </w:r>
          </w:p>
        </w:tc>
      </w:tr>
      <w:tr w:rsidR="008E3A69" w:rsidRPr="008B58A5" w:rsidTr="00102354">
        <w:tc>
          <w:tcPr>
            <w:tcW w:w="226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Public Administration and Safety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44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478 (7.7%)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81315" w:rsidRPr="00DD53F3" w:rsidRDefault="00B81315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37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698 (7.1%)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55.9%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44.1%</w:t>
            </w:r>
          </w:p>
        </w:tc>
      </w:tr>
      <w:tr w:rsidR="008E3A69" w:rsidRPr="008B58A5" w:rsidTr="00102354">
        <w:tc>
          <w:tcPr>
            <w:tcW w:w="226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53F3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768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232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52.5%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47.5%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81315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534</w:t>
            </w:r>
            <w:r w:rsidR="006C45E4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621 (6.7%)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102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47.0%</w:t>
            </w:r>
          </w:p>
        </w:tc>
      </w:tr>
    </w:tbl>
    <w:p w:rsidR="00E82BBF" w:rsidRDefault="00E82BBF" w:rsidP="00E82BBF">
      <w:pPr>
        <w:pStyle w:val="ListParagraph"/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8E3A69" w:rsidRDefault="008E3A69" w:rsidP="008E3A6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the largest proportion of employed persons, aged 15 years and over, reported working in the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Health Care and Social Assistance</w:t>
      </w:r>
      <w:r w:rsidR="00F93F0E">
        <w:rPr>
          <w:rFonts w:ascii="Arial" w:hAnsi="Arial" w:cs="Arial"/>
          <w:b/>
          <w:color w:val="4F81BD" w:themeColor="accent1"/>
          <w:sz w:val="18"/>
          <w:szCs w:val="18"/>
        </w:rPr>
        <w:t xml:space="preserve"> i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ndustry (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14.2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%). </w:t>
      </w:r>
    </w:p>
    <w:p w:rsidR="008E3A69" w:rsidRPr="00BB4CAD" w:rsidRDefault="008E3A69" w:rsidP="008E3A6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In 2006, </w:t>
      </w:r>
      <w:r>
        <w:rPr>
          <w:rFonts w:ascii="Arial" w:hAnsi="Arial" w:cs="Arial"/>
          <w:b/>
          <w:bCs/>
          <w:color w:val="4181C0"/>
          <w:sz w:val="18"/>
          <w:szCs w:val="18"/>
        </w:rPr>
        <w:t>the Health Care and Social Assistance</w:t>
      </w:r>
      <w:r w:rsidR="00A7457B">
        <w:rPr>
          <w:rFonts w:ascii="Arial" w:hAnsi="Arial" w:cs="Arial"/>
          <w:b/>
          <w:color w:val="4F81BD" w:themeColor="accent1"/>
          <w:sz w:val="18"/>
          <w:szCs w:val="18"/>
        </w:rPr>
        <w:t xml:space="preserve"> i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ndustry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was the most reported response for employed persons aged 15 years and over (</w:t>
      </w:r>
      <w:r>
        <w:rPr>
          <w:rFonts w:ascii="Arial" w:hAnsi="Arial" w:cs="Arial"/>
          <w:b/>
          <w:bCs/>
          <w:color w:val="4181C0"/>
          <w:sz w:val="18"/>
          <w:szCs w:val="18"/>
        </w:rPr>
        <w:t>13.2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%). The proportion of </w:t>
      </w:r>
      <w:r w:rsidR="00C50E08">
        <w:rPr>
          <w:rFonts w:ascii="Arial" w:hAnsi="Arial" w:cs="Arial"/>
          <w:b/>
          <w:bCs/>
          <w:color w:val="4181C0"/>
          <w:sz w:val="18"/>
          <w:szCs w:val="18"/>
        </w:rPr>
        <w:t>those who reported being employed</w:t>
      </w:r>
      <w:r w:rsidR="00F866D4">
        <w:rPr>
          <w:rFonts w:ascii="Arial" w:hAnsi="Arial" w:cs="Arial"/>
          <w:b/>
          <w:bCs/>
          <w:color w:val="4181C0"/>
          <w:sz w:val="18"/>
          <w:szCs w:val="18"/>
        </w:rPr>
        <w:t xml:space="preserve"> in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this industry </w:t>
      </w:r>
      <w:r>
        <w:rPr>
          <w:rFonts w:ascii="Arial" w:hAnsi="Arial" w:cs="Arial"/>
          <w:b/>
          <w:bCs/>
          <w:color w:val="4181C0"/>
          <w:sz w:val="18"/>
          <w:szCs w:val="18"/>
        </w:rPr>
        <w:t>increased by 1.0 percentage point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in 2011.</w:t>
      </w:r>
    </w:p>
    <w:p w:rsidR="008E3A69" w:rsidRPr="00E14C15" w:rsidRDefault="008E3A69" w:rsidP="008E3A6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</w:t>
      </w:r>
      <w:r w:rsidR="005D736F">
        <w:rPr>
          <w:rFonts w:ascii="Arial" w:hAnsi="Arial" w:cs="Arial"/>
          <w:b/>
          <w:bCs/>
          <w:color w:val="4181C0"/>
          <w:sz w:val="18"/>
          <w:szCs w:val="18"/>
        </w:rPr>
        <w:t>employed persons aged over 15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Retail Trade as their industry of employment has declined to 11.4% in </w:t>
      </w:r>
      <w:r w:rsidR="00A964A8">
        <w:rPr>
          <w:rFonts w:ascii="Arial" w:hAnsi="Arial" w:cs="Arial"/>
          <w:b/>
          <w:bCs/>
          <w:color w:val="4181C0"/>
          <w:sz w:val="18"/>
          <w:szCs w:val="18"/>
        </w:rPr>
        <w:t xml:space="preserve">2011 compared to 12.0% in </w:t>
      </w:r>
      <w:proofErr w:type="gramStart"/>
      <w:r w:rsidR="00A964A8">
        <w:rPr>
          <w:rFonts w:ascii="Arial" w:hAnsi="Arial" w:cs="Arial"/>
          <w:b/>
          <w:bCs/>
          <w:color w:val="4181C0"/>
          <w:sz w:val="18"/>
          <w:szCs w:val="18"/>
        </w:rPr>
        <w:t>2006,</w:t>
      </w:r>
      <w:proofErr w:type="gramEnd"/>
      <w:r w:rsidR="00A964A8">
        <w:rPr>
          <w:rFonts w:ascii="Arial" w:hAnsi="Arial" w:cs="Arial"/>
          <w:b/>
          <w:bCs/>
          <w:color w:val="4181C0"/>
          <w:sz w:val="18"/>
          <w:szCs w:val="18"/>
        </w:rPr>
        <w:t xml:space="preserve"> however t</w:t>
      </w:r>
      <w:r>
        <w:rPr>
          <w:rFonts w:ascii="Arial" w:hAnsi="Arial" w:cs="Arial"/>
          <w:b/>
          <w:bCs/>
          <w:color w:val="4181C0"/>
          <w:sz w:val="18"/>
          <w:szCs w:val="18"/>
        </w:rPr>
        <w:t>here has been</w:t>
      </w:r>
      <w:r w:rsidR="00A964A8">
        <w:rPr>
          <w:rFonts w:ascii="Arial" w:hAnsi="Arial" w:cs="Arial"/>
          <w:b/>
          <w:bCs/>
          <w:color w:val="4181C0"/>
          <w:sz w:val="18"/>
          <w:szCs w:val="18"/>
        </w:rPr>
        <w:t xml:space="preserve"> a</w:t>
      </w:r>
      <w:r w:rsidR="00B708D0">
        <w:rPr>
          <w:rFonts w:ascii="Arial" w:hAnsi="Arial" w:cs="Arial"/>
          <w:b/>
          <w:bCs/>
          <w:color w:val="4181C0"/>
          <w:sz w:val="18"/>
          <w:szCs w:val="18"/>
        </w:rPr>
        <w:t>n</w:t>
      </w:r>
      <w:r w:rsidR="00A964A8">
        <w:rPr>
          <w:rFonts w:ascii="Arial" w:hAnsi="Arial" w:cs="Arial"/>
          <w:b/>
          <w:bCs/>
          <w:color w:val="4181C0"/>
          <w:sz w:val="18"/>
          <w:szCs w:val="18"/>
        </w:rPr>
        <w:t xml:space="preserve"> increase in the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numb</w:t>
      </w:r>
      <w:r w:rsidR="00A964A8">
        <w:rPr>
          <w:rFonts w:ascii="Arial" w:hAnsi="Arial" w:cs="Arial"/>
          <w:b/>
          <w:bCs/>
          <w:color w:val="4181C0"/>
          <w:sz w:val="18"/>
          <w:szCs w:val="18"/>
        </w:rPr>
        <w:t>er of persons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employed in this industry (1,332 persons).</w:t>
      </w:r>
    </w:p>
    <w:p w:rsidR="008E3A69" w:rsidRPr="001F6ED0" w:rsidRDefault="008E3A69" w:rsidP="008E3A6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</w:t>
      </w:r>
      <w:r w:rsidR="0089541F">
        <w:rPr>
          <w:rFonts w:ascii="Arial" w:hAnsi="Arial" w:cs="Arial"/>
          <w:b/>
          <w:bCs/>
          <w:color w:val="4181C0"/>
          <w:sz w:val="18"/>
          <w:szCs w:val="18"/>
        </w:rPr>
        <w:t>employed persons aged 15 and over 15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Manufacturing as their industry of employment has declined to 10.4% in 2011 compared to 12.9% in 2006. There has also been a decline in the number of persons who reported being employed in this industry (9,046 persons).</w:t>
      </w:r>
    </w:p>
    <w:p w:rsidR="008E3A69" w:rsidRPr="00004BDC" w:rsidRDefault="008E3A69" w:rsidP="008E3A6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 w:rsidR="00E43C84">
        <w:rPr>
          <w:rFonts w:ascii="Arial" w:hAnsi="Arial" w:cs="Arial"/>
          <w:b/>
          <w:color w:val="4F81BD" w:themeColor="accent1"/>
          <w:sz w:val="18"/>
          <w:szCs w:val="18"/>
        </w:rPr>
        <w:t>males comprised 75.8% of persons employed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in </w:t>
      </w:r>
      <w:r w:rsidR="00E43C84">
        <w:rPr>
          <w:rFonts w:ascii="Arial" w:hAnsi="Arial" w:cs="Arial"/>
          <w:b/>
          <w:color w:val="4F81BD" w:themeColor="accent1"/>
          <w:sz w:val="18"/>
          <w:szCs w:val="18"/>
        </w:rPr>
        <w:t xml:space="preserve">the Manufacturing industry. </w:t>
      </w:r>
    </w:p>
    <w:p w:rsidR="008E3A69" w:rsidRPr="009435D8" w:rsidRDefault="008E3A69" w:rsidP="008E3A6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004BDC">
        <w:rPr>
          <w:rFonts w:ascii="Arial" w:hAnsi="Arial" w:cs="Arial"/>
          <w:b/>
          <w:bCs/>
          <w:color w:val="4181C0"/>
          <w:sz w:val="18"/>
          <w:szCs w:val="18"/>
        </w:rPr>
        <w:t xml:space="preserve">In 2011,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="00664E93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 emp</w:t>
      </w:r>
      <w:r w:rsidR="00664E93">
        <w:rPr>
          <w:rFonts w:ascii="Arial" w:hAnsi="Arial" w:cs="Arial"/>
          <w:b/>
          <w:bCs/>
          <w:color w:val="4181C0"/>
          <w:sz w:val="18"/>
          <w:szCs w:val="18"/>
        </w:rPr>
        <w:t>loyed in the industries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 of Health Care and Social Assistance, Education and Training and Retail Trade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proofErr w:type="gramStart"/>
      <w:r w:rsidRPr="009435D8"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 females (7</w:t>
      </w:r>
      <w:r>
        <w:rPr>
          <w:rFonts w:ascii="Arial" w:hAnsi="Arial" w:cs="Arial"/>
          <w:b/>
          <w:bCs/>
          <w:color w:val="4181C0"/>
          <w:sz w:val="18"/>
          <w:szCs w:val="18"/>
        </w:rPr>
        <w:t>8.1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%, </w:t>
      </w:r>
      <w:r>
        <w:rPr>
          <w:rFonts w:ascii="Arial" w:hAnsi="Arial" w:cs="Arial"/>
          <w:b/>
          <w:bCs/>
          <w:color w:val="4181C0"/>
          <w:sz w:val="18"/>
          <w:szCs w:val="18"/>
        </w:rPr>
        <w:t>67.6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% and </w:t>
      </w:r>
      <w:r>
        <w:rPr>
          <w:rFonts w:ascii="Arial" w:hAnsi="Arial" w:cs="Arial"/>
          <w:b/>
          <w:bCs/>
          <w:color w:val="4181C0"/>
          <w:sz w:val="18"/>
          <w:szCs w:val="18"/>
        </w:rPr>
        <w:t>55.7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% respectively). </w:t>
      </w:r>
    </w:p>
    <w:p w:rsidR="00577B41" w:rsidRPr="002A47EB" w:rsidRDefault="00577B41" w:rsidP="008E3A69">
      <w:pPr>
        <w:pStyle w:val="ListParagraph"/>
        <w:rPr>
          <w:rFonts w:ascii="Arial" w:hAnsi="Arial" w:cs="Arial"/>
          <w:b/>
        </w:rPr>
      </w:pPr>
    </w:p>
    <w:p w:rsidR="00E640DC" w:rsidRDefault="00E640DC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Default="008E3A69" w:rsidP="008E3A69">
      <w:pPr>
        <w:pStyle w:val="ListParagraph"/>
        <w:rPr>
          <w:rFonts w:ascii="Arial" w:hAnsi="Arial" w:cs="Arial"/>
          <w:b/>
        </w:rPr>
      </w:pPr>
    </w:p>
    <w:p w:rsidR="008E3A69" w:rsidRPr="00577B41" w:rsidRDefault="008E3A69" w:rsidP="008E3A69">
      <w:pPr>
        <w:pStyle w:val="ListParagraph"/>
        <w:rPr>
          <w:rFonts w:ascii="Arial" w:hAnsi="Arial" w:cs="Arial"/>
          <w:b/>
        </w:rPr>
      </w:pPr>
    </w:p>
    <w:p w:rsidR="006B4BFF" w:rsidRDefault="006B4BFF" w:rsidP="006B4BFF">
      <w:pPr>
        <w:rPr>
          <w:rFonts w:ascii="Arial" w:hAnsi="Arial" w:cs="Arial"/>
          <w:b/>
          <w:color w:val="000000" w:themeColor="text1"/>
        </w:rPr>
      </w:pPr>
    </w:p>
    <w:p w:rsidR="0028598D" w:rsidRDefault="0028598D" w:rsidP="006B4BFF">
      <w:pPr>
        <w:rPr>
          <w:rFonts w:ascii="Arial" w:hAnsi="Arial" w:cs="Arial"/>
          <w:b/>
          <w:color w:val="000000" w:themeColor="text1"/>
        </w:rPr>
      </w:pPr>
    </w:p>
    <w:p w:rsidR="0028598D" w:rsidRDefault="0028598D" w:rsidP="006B4BFF">
      <w:pPr>
        <w:rPr>
          <w:rFonts w:ascii="Arial" w:hAnsi="Arial" w:cs="Arial"/>
          <w:b/>
          <w:color w:val="000000" w:themeColor="text1"/>
        </w:rPr>
      </w:pPr>
    </w:p>
    <w:p w:rsidR="002848F0" w:rsidRPr="003836C7" w:rsidRDefault="002848F0" w:rsidP="002848F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Adelaide</w:t>
      </w:r>
    </w:p>
    <w:p w:rsidR="002848F0" w:rsidRPr="002848F0" w:rsidRDefault="002848F0" w:rsidP="002848F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33455" w:rsidRPr="00433831" w:rsidRDefault="00E71FC2" w:rsidP="00B569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Top five</w:t>
      </w:r>
      <w:r w:rsidR="00936274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>Occupations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851"/>
        <w:gridCol w:w="1134"/>
        <w:gridCol w:w="1842"/>
        <w:gridCol w:w="993"/>
        <w:gridCol w:w="1275"/>
      </w:tblGrid>
      <w:tr w:rsidR="00276567" w:rsidRPr="008B58A5" w:rsidTr="00740DF9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Pr="002E42CC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</w:tcPr>
          <w:p w:rsidR="00276567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8B58A5" w:rsidTr="00B81315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C66E03" w:rsidRPr="00726F2A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C66E03" w:rsidRPr="00DD53F3" w:rsidRDefault="00C66E03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Professionals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124,685 (21.6%)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108,966 (20.4%)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</w:tr>
      <w:tr w:rsidR="008E3A69" w:rsidRPr="00726F2A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Clerical and Administrative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89,015 (15.4%)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24.3%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75.7%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84,252 (15.8%)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24.7%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75.3%</w:t>
            </w:r>
          </w:p>
        </w:tc>
      </w:tr>
      <w:tr w:rsidR="008E3A69" w:rsidRPr="00726F2A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Technicians and Trades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80,593 (14.0%)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84.5%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15.5%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75,846 (14.2%)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84.4%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15.6%</w:t>
            </w:r>
          </w:p>
        </w:tc>
      </w:tr>
      <w:tr w:rsidR="00C66E03" w:rsidRPr="00726F2A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C66E03" w:rsidRPr="00DD53F3" w:rsidRDefault="00C66E03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Managers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64,310 (11.1%)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65.1%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34.9%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61,658 (11.5%)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65.6%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34.4%</w:t>
            </w:r>
          </w:p>
        </w:tc>
      </w:tr>
      <w:tr w:rsidR="008E3A69" w:rsidRPr="00726F2A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Community and Personal Service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61,551 (10.7%)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30.8%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69.2%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51,365 (9.6%)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30.1%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69.9%</w:t>
            </w:r>
          </w:p>
        </w:tc>
      </w:tr>
      <w:tr w:rsidR="00C66E03" w:rsidRPr="00726F2A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C66E03" w:rsidRPr="00DD53F3" w:rsidRDefault="00C66E03" w:rsidP="00B8131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53F3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576,823 (100%)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52.5%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47.5%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534,621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C66E03" w:rsidRPr="00DD53F3" w:rsidRDefault="00C66E03" w:rsidP="00F53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47.0%</w:t>
            </w:r>
          </w:p>
        </w:tc>
      </w:tr>
    </w:tbl>
    <w:p w:rsidR="00E82BBF" w:rsidRPr="00E82BBF" w:rsidRDefault="00E82BBF" w:rsidP="00E82BBF">
      <w:pPr>
        <w:pStyle w:val="ListParagraph"/>
        <w:rPr>
          <w:rFonts w:ascii="Arial" w:eastAsia="Times New Roman" w:hAnsi="Arial" w:cs="Arial"/>
          <w:b/>
          <w:color w:val="000000"/>
          <w:lang w:eastAsia="en-AU"/>
        </w:rPr>
      </w:pPr>
    </w:p>
    <w:p w:rsidR="008E3A69" w:rsidRPr="00E14C15" w:rsidRDefault="008E3A69" w:rsidP="00B81315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21.6% of employed persons aged 15 years and over reported </w:t>
      </w:r>
      <w:r w:rsidR="00E71FC2">
        <w:rPr>
          <w:rFonts w:ascii="Arial" w:hAnsi="Arial" w:cs="Arial"/>
          <w:b/>
          <w:bCs/>
          <w:color w:val="4181C0"/>
          <w:sz w:val="18"/>
          <w:szCs w:val="18"/>
        </w:rPr>
        <w:t xml:space="preserve">working as professionals. </w:t>
      </w:r>
      <w:r>
        <w:rPr>
          <w:rFonts w:ascii="Arial" w:hAnsi="Arial" w:cs="Arial"/>
          <w:b/>
          <w:bCs/>
          <w:color w:val="4181C0"/>
          <w:sz w:val="18"/>
          <w:szCs w:val="18"/>
        </w:rPr>
        <w:t>54.3%</w:t>
      </w:r>
      <w:r w:rsidR="00E71FC2">
        <w:rPr>
          <w:rFonts w:ascii="Arial" w:hAnsi="Arial" w:cs="Arial"/>
          <w:b/>
          <w:bCs/>
          <w:color w:val="4181C0"/>
          <w:sz w:val="18"/>
          <w:szCs w:val="18"/>
        </w:rPr>
        <w:t xml:space="preserve"> of these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were females.</w:t>
      </w:r>
    </w:p>
    <w:p w:rsidR="008E3A69" w:rsidRPr="00E14C15" w:rsidRDefault="008E3A69" w:rsidP="00B81315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color w:val="000000"/>
          <w:lang w:eastAsia="en-AU"/>
        </w:rPr>
      </w:pPr>
      <w:r w:rsidRPr="00E14C15">
        <w:rPr>
          <w:rFonts w:ascii="Arial" w:hAnsi="Arial" w:cs="Arial"/>
          <w:b/>
          <w:bCs/>
          <w:color w:val="4181C0"/>
          <w:sz w:val="18"/>
          <w:szCs w:val="18"/>
        </w:rPr>
        <w:t>The proportion of those who reported working as Professionals has in</w:t>
      </w:r>
      <w:r w:rsidR="006B2AB5">
        <w:rPr>
          <w:rFonts w:ascii="Arial" w:hAnsi="Arial" w:cs="Arial"/>
          <w:b/>
          <w:bCs/>
          <w:color w:val="4181C0"/>
          <w:sz w:val="18"/>
          <w:szCs w:val="18"/>
        </w:rPr>
        <w:t>creased by 1.2 percentage point</w:t>
      </w:r>
      <w:r w:rsidRPr="00E14C15">
        <w:rPr>
          <w:rFonts w:ascii="Arial" w:hAnsi="Arial" w:cs="Arial"/>
          <w:b/>
          <w:bCs/>
          <w:color w:val="4181C0"/>
          <w:sz w:val="18"/>
          <w:szCs w:val="18"/>
        </w:rPr>
        <w:t xml:space="preserve"> from 20.4% in 2006 to 21.6% in 2011.</w:t>
      </w:r>
    </w:p>
    <w:p w:rsidR="008E3A69" w:rsidRPr="005A7774" w:rsidRDefault="00BB7E2D" w:rsidP="00B81315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Of those persons who</w:t>
      </w:r>
      <w:r w:rsidR="008E3A69" w:rsidRPr="005A7774">
        <w:rPr>
          <w:rFonts w:ascii="Arial" w:hAnsi="Arial" w:cs="Arial"/>
          <w:b/>
          <w:bCs/>
          <w:color w:val="4181C0"/>
          <w:sz w:val="18"/>
          <w:szCs w:val="18"/>
        </w:rPr>
        <w:t xml:space="preserve"> reported working as Clerical and Administrative Workers (15.4%), </w:t>
      </w:r>
      <w:proofErr w:type="gramStart"/>
      <w:r w:rsidR="008E3A69" w:rsidRPr="005A7774"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 w:rsidR="008E3A69" w:rsidRPr="005A7774">
        <w:rPr>
          <w:rFonts w:ascii="Arial" w:hAnsi="Arial" w:cs="Arial"/>
          <w:b/>
          <w:bCs/>
          <w:color w:val="4181C0"/>
          <w:sz w:val="18"/>
          <w:szCs w:val="18"/>
        </w:rPr>
        <w:t xml:space="preserve"> females (75.7%). This compared to 14.0% of persons reporting as Technicians and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Trades workers of whom</w:t>
      </w:r>
      <w:r w:rsidR="008E3A69" w:rsidRPr="005A7774">
        <w:rPr>
          <w:rFonts w:ascii="Arial" w:hAnsi="Arial" w:cs="Arial"/>
          <w:b/>
          <w:bCs/>
          <w:color w:val="4181C0"/>
          <w:sz w:val="18"/>
          <w:szCs w:val="18"/>
        </w:rPr>
        <w:t xml:space="preserve"> 84.5% were males.</w:t>
      </w:r>
    </w:p>
    <w:p w:rsidR="00233455" w:rsidRDefault="00233455" w:rsidP="006B4BF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CE1624" w:rsidRPr="00726F2A" w:rsidRDefault="00CE1624" w:rsidP="008E3A69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8E3A69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8E3A69">
      <w:pPr>
        <w:pStyle w:val="ListParagraph"/>
        <w:rPr>
          <w:rFonts w:ascii="Arial" w:hAnsi="Arial" w:cs="Arial"/>
          <w:b/>
          <w:color w:val="000000" w:themeColor="text1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E3A69" w:rsidRDefault="008E3A69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8E3A69" w:rsidRDefault="008E3A69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8E3A69" w:rsidRDefault="008E3A69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8E3A69" w:rsidRDefault="008E3A69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8E3A69" w:rsidRDefault="008E3A69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8E3A69" w:rsidRDefault="008E3A69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8598D" w:rsidRDefault="0028598D" w:rsidP="002848F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8E3A69" w:rsidRDefault="008E3A69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40DF9" w:rsidRDefault="008E3A69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Adelaide</w:t>
      </w:r>
    </w:p>
    <w:p w:rsidR="00740DF9" w:rsidRPr="00BF1EC3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47EB" w:rsidRPr="00433831" w:rsidRDefault="002A47EB" w:rsidP="002A47E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Highest Level of Education (all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79"/>
        <w:gridCol w:w="1949"/>
        <w:gridCol w:w="992"/>
        <w:gridCol w:w="1126"/>
        <w:gridCol w:w="1848"/>
        <w:gridCol w:w="1327"/>
        <w:gridCol w:w="1369"/>
      </w:tblGrid>
      <w:tr w:rsidR="002A47EB" w:rsidTr="00E640DC">
        <w:tc>
          <w:tcPr>
            <w:tcW w:w="187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067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544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Tr="00B81315">
        <w:tc>
          <w:tcPr>
            <w:tcW w:w="187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49" w:type="dxa"/>
            <w:shd w:val="clear" w:color="auto" w:fill="8DB3E2" w:themeFill="text2" w:themeFillTint="66"/>
            <w:vAlign w:val="bottom"/>
          </w:tcPr>
          <w:p w:rsidR="002A47EB" w:rsidRPr="002E42CC" w:rsidRDefault="002A47EB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2A47EB" w:rsidRPr="002E42CC" w:rsidRDefault="002A47EB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126" w:type="dxa"/>
            <w:shd w:val="clear" w:color="auto" w:fill="8DB3E2" w:themeFill="text2" w:themeFillTint="66"/>
            <w:vAlign w:val="bottom"/>
          </w:tcPr>
          <w:p w:rsidR="002A47EB" w:rsidRPr="002E42CC" w:rsidRDefault="002A47EB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8" w:type="dxa"/>
            <w:shd w:val="clear" w:color="auto" w:fill="8DB3E2" w:themeFill="text2" w:themeFillTint="66"/>
            <w:vAlign w:val="bottom"/>
          </w:tcPr>
          <w:p w:rsidR="002A47EB" w:rsidRPr="002E42CC" w:rsidRDefault="002A47EB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27" w:type="dxa"/>
            <w:shd w:val="clear" w:color="auto" w:fill="8DB3E2" w:themeFill="text2" w:themeFillTint="66"/>
            <w:vAlign w:val="bottom"/>
          </w:tcPr>
          <w:p w:rsidR="002A47EB" w:rsidRPr="002E42CC" w:rsidRDefault="002A47EB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369" w:type="dxa"/>
            <w:shd w:val="clear" w:color="auto" w:fill="8DB3E2" w:themeFill="text2" w:themeFillTint="66"/>
            <w:vAlign w:val="bottom"/>
          </w:tcPr>
          <w:p w:rsidR="002A47EB" w:rsidRPr="002E42CC" w:rsidRDefault="002A47EB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8E3A69" w:rsidTr="00B81315">
        <w:tc>
          <w:tcPr>
            <w:tcW w:w="187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33,487 (3.3%)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54.5%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45.5%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21,236 (2.2%)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58.3%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41.7%</w:t>
            </w:r>
          </w:p>
        </w:tc>
      </w:tr>
      <w:tr w:rsidR="008E3A69" w:rsidTr="00B81315">
        <w:tc>
          <w:tcPr>
            <w:tcW w:w="1879" w:type="dxa"/>
            <w:shd w:val="clear" w:color="auto" w:fill="8DB3E2" w:themeFill="text2" w:themeFillTint="66"/>
            <w:vAlign w:val="bottom"/>
          </w:tcPr>
          <w:p w:rsidR="008E3A69" w:rsidRPr="00DD53F3" w:rsidRDefault="001545DB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and Graduate</w:t>
            </w:r>
            <w:r w:rsidR="008E3A69"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Certificate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17,377 (1.7%)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36.9%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63.1%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13,792 (1.5%)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38.3%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61.7%</w:t>
            </w:r>
          </w:p>
        </w:tc>
      </w:tr>
      <w:tr w:rsidR="008E3A69" w:rsidTr="00B81315">
        <w:tc>
          <w:tcPr>
            <w:tcW w:w="187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132,754 (13.2%)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44.2%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55.8%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105,329 (11.1%)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45.1%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54.9%</w:t>
            </w:r>
          </w:p>
        </w:tc>
      </w:tr>
      <w:tr w:rsidR="008E3A69" w:rsidTr="00B81315">
        <w:tc>
          <w:tcPr>
            <w:tcW w:w="187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78,565 (7.8%)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44.3%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55.7%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65,843 (6.9%)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45.1%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54.9%</w:t>
            </w:r>
          </w:p>
        </w:tc>
      </w:tr>
      <w:tr w:rsidR="008E3A69" w:rsidTr="00B81315">
        <w:tc>
          <w:tcPr>
            <w:tcW w:w="187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152,890 (15.2%)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69.1%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30.9%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132,846 (14.0%)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72.6%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27.4%</w:t>
            </w:r>
          </w:p>
        </w:tc>
      </w:tr>
      <w:tr w:rsidR="008E3A69" w:rsidTr="00B81315">
        <w:tc>
          <w:tcPr>
            <w:tcW w:w="187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12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174,870 (17.3%)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46.3%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53.7%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160,077 (16.9%)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</w:tr>
      <w:tr w:rsidR="008E3A69" w:rsidTr="00B81315">
        <w:tc>
          <w:tcPr>
            <w:tcW w:w="187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 or below (includes Certificate I/II/</w:t>
            </w:r>
            <w:proofErr w:type="spellStart"/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305,940 (30.3%)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43.2%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56.8%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325,581 (34.3%)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42.1%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57.9%</w:t>
            </w:r>
          </w:p>
        </w:tc>
      </w:tr>
      <w:tr w:rsidR="008E3A69" w:rsidTr="00B81315">
        <w:tc>
          <w:tcPr>
            <w:tcW w:w="1879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DD53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1,008,605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48.5%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51.5%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948,071 (100%)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48.3%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51.7%</w:t>
            </w:r>
          </w:p>
        </w:tc>
      </w:tr>
    </w:tbl>
    <w:p w:rsidR="00726F2A" w:rsidRPr="00915BC2" w:rsidRDefault="00915BC2" w:rsidP="00E640DC">
      <w:pPr>
        <w:rPr>
          <w:rFonts w:ascii="Arial" w:hAnsi="Arial" w:cs="Arial"/>
          <w:b/>
          <w:color w:val="4F81BD" w:themeColor="accent1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color w:val="4F81BD" w:themeColor="accent1"/>
          <w:sz w:val="18"/>
          <w:szCs w:val="18"/>
        </w:rPr>
        <w:t>nfd</w:t>
      </w:r>
      <w:proofErr w:type="spellEnd"/>
      <w:proofErr w:type="gramEnd"/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not further defined</w:t>
      </w:r>
    </w:p>
    <w:p w:rsidR="008E3A69" w:rsidRPr="008415AC" w:rsidRDefault="008E3A69" w:rsidP="00B8131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</w:t>
      </w:r>
      <w:r w:rsidRPr="00915BC2">
        <w:rPr>
          <w:rFonts w:ascii="Arial" w:hAnsi="Arial" w:cs="Arial"/>
          <w:b/>
          <w:bCs/>
          <w:color w:val="4181C0"/>
          <w:sz w:val="18"/>
          <w:szCs w:val="18"/>
        </w:rPr>
        <w:t xml:space="preserve">there was </w:t>
      </w:r>
      <w:r>
        <w:rPr>
          <w:rFonts w:ascii="Arial" w:hAnsi="Arial" w:cs="Arial"/>
          <w:b/>
          <w:bCs/>
          <w:color w:val="4181C0"/>
          <w:sz w:val="18"/>
          <w:szCs w:val="18"/>
        </w:rPr>
        <w:t>a significant increase in persons who reported completing a Postgraduate Degree. This increased from 21,236 in 2006 to 33,487 in 2011 (a 57.7% increase).</w:t>
      </w:r>
    </w:p>
    <w:p w:rsidR="008E3A69" w:rsidRPr="005F7046" w:rsidRDefault="008E3A69" w:rsidP="00B8131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There has also been </w:t>
      </w:r>
      <w:r w:rsidR="00C429FE"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significant increase in numbers of those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or </w:t>
      </w:r>
      <w:r w:rsidR="00FB31FF"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Certificate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highest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level of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This increased from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13,792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17,377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(an increase of 26.0%).</w:t>
      </w:r>
    </w:p>
    <w:p w:rsidR="008E3A69" w:rsidRPr="008415AC" w:rsidRDefault="008E3A69" w:rsidP="00B8131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There was </w:t>
      </w:r>
      <w:r w:rsidR="00C429FE">
        <w:rPr>
          <w:rFonts w:ascii="Arial" w:hAnsi="Arial" w:cs="Arial"/>
          <w:b/>
          <w:bCs/>
          <w:color w:val="4181C0"/>
          <w:sz w:val="18"/>
          <w:szCs w:val="18"/>
        </w:rPr>
        <w:t>a significant increase (26.0%)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</w:t>
      </w:r>
      <w:r w:rsidR="00C429FE">
        <w:rPr>
          <w:rFonts w:ascii="Arial" w:hAnsi="Arial" w:cs="Arial"/>
          <w:b/>
          <w:bCs/>
          <w:color w:val="4181C0"/>
          <w:sz w:val="18"/>
          <w:szCs w:val="18"/>
        </w:rPr>
        <w:t>the number of persons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Bachelor Degree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education, from 105,329 in 2006 to 132,</w:t>
      </w:r>
      <w:r w:rsidR="00C429FE">
        <w:rPr>
          <w:rFonts w:ascii="Arial" w:hAnsi="Arial" w:cs="Arial"/>
          <w:b/>
          <w:bCs/>
          <w:color w:val="4181C0"/>
          <w:sz w:val="18"/>
          <w:szCs w:val="18"/>
        </w:rPr>
        <w:t>754 in 2011.</w:t>
      </w:r>
    </w:p>
    <w:p w:rsidR="008E3A69" w:rsidRPr="00E14C15" w:rsidRDefault="008E3A69" w:rsidP="00B8131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There has been a </w:t>
      </w:r>
      <w:r>
        <w:rPr>
          <w:rFonts w:ascii="Arial" w:hAnsi="Arial" w:cs="Arial"/>
          <w:b/>
          <w:bCs/>
          <w:color w:val="4181C0"/>
          <w:sz w:val="18"/>
          <w:szCs w:val="18"/>
        </w:rPr>
        <w:t>d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ecline in </w:t>
      </w:r>
      <w:r w:rsidR="00FF174A">
        <w:rPr>
          <w:rFonts w:ascii="Arial" w:hAnsi="Arial" w:cs="Arial"/>
          <w:b/>
          <w:bCs/>
          <w:color w:val="4181C0"/>
          <w:sz w:val="18"/>
          <w:szCs w:val="18"/>
        </w:rPr>
        <w:t>the number of persons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Year 11 and below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FF174A">
        <w:rPr>
          <w:rFonts w:ascii="Arial" w:hAnsi="Arial" w:cs="Arial"/>
          <w:b/>
          <w:bCs/>
          <w:color w:val="4181C0"/>
          <w:sz w:val="18"/>
          <w:szCs w:val="18"/>
        </w:rPr>
        <w:t>(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in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cluding Certificate level I/II),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as their highest level of 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from </w:t>
      </w:r>
      <w:r>
        <w:rPr>
          <w:rFonts w:ascii="Arial" w:hAnsi="Arial" w:cs="Arial"/>
          <w:b/>
          <w:bCs/>
          <w:color w:val="4181C0"/>
          <w:sz w:val="18"/>
          <w:szCs w:val="18"/>
        </w:rPr>
        <w:t>325,581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2006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305,940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in 2011.</w:t>
      </w:r>
    </w:p>
    <w:p w:rsidR="008E3A69" w:rsidRPr="008415AC" w:rsidRDefault="008E3A69" w:rsidP="00B8131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 higher proportion of </w:t>
      </w:r>
      <w:r w:rsidR="005355E7">
        <w:rPr>
          <w:rFonts w:ascii="Arial" w:hAnsi="Arial" w:cs="Arial"/>
          <w:b/>
          <w:bCs/>
          <w:color w:val="4181C0"/>
          <w:sz w:val="18"/>
          <w:szCs w:val="18"/>
        </w:rPr>
        <w:t>females than males reported their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highest level of education as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or </w:t>
      </w:r>
      <w:r w:rsidR="005355E7"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Certificate</w:t>
      </w:r>
      <w:r>
        <w:rPr>
          <w:rFonts w:ascii="Arial" w:hAnsi="Arial" w:cs="Arial"/>
          <w:b/>
          <w:bCs/>
          <w:color w:val="4181C0"/>
          <w:sz w:val="18"/>
          <w:szCs w:val="18"/>
        </w:rPr>
        <w:t>, Bachelor</w:t>
      </w:r>
      <w:r w:rsidR="005355E7">
        <w:rPr>
          <w:rFonts w:ascii="Arial" w:hAnsi="Arial" w:cs="Arial"/>
          <w:b/>
          <w:bCs/>
          <w:color w:val="4181C0"/>
          <w:sz w:val="18"/>
          <w:szCs w:val="18"/>
        </w:rPr>
        <w:t xml:space="preserve"> Degree and Advanced Diploma or Diploma (63.1</w:t>
      </w:r>
      <w:r>
        <w:rPr>
          <w:rFonts w:ascii="Arial" w:hAnsi="Arial" w:cs="Arial"/>
          <w:b/>
          <w:bCs/>
          <w:color w:val="4181C0"/>
          <w:sz w:val="18"/>
          <w:szCs w:val="18"/>
        </w:rPr>
        <w:t>%, 55.8% and 55.7% respectively).</w:t>
      </w:r>
    </w:p>
    <w:p w:rsidR="008E3A69" w:rsidRPr="008415AC" w:rsidRDefault="008E3A69" w:rsidP="00B81315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O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f those who reported completing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III/IV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</w:t>
      </w:r>
      <w:r w:rsidR="005355E7">
        <w:rPr>
          <w:rFonts w:ascii="Arial" w:hAnsi="Arial" w:cs="Arial"/>
          <w:b/>
          <w:bCs/>
          <w:color w:val="4181C0"/>
          <w:sz w:val="18"/>
          <w:szCs w:val="18"/>
        </w:rPr>
        <w:t xml:space="preserve">ucation, </w:t>
      </w:r>
      <w:proofErr w:type="gramStart"/>
      <w:r w:rsidR="005355E7"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males (69.1%). </w:t>
      </w:r>
    </w:p>
    <w:p w:rsidR="00CE1624" w:rsidRPr="00726F2A" w:rsidRDefault="00CE1624" w:rsidP="008E3A69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8E3A69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8E3A69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Default="00CE1624" w:rsidP="00E640DC">
      <w:pPr>
        <w:rPr>
          <w:rFonts w:ascii="Arial" w:hAnsi="Arial" w:cs="Arial"/>
          <w:b/>
          <w:color w:val="000000" w:themeColor="text1"/>
        </w:rPr>
      </w:pPr>
    </w:p>
    <w:p w:rsidR="00CE1624" w:rsidRDefault="00CE1624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8E3A69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Adelaide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431A" w:rsidRPr="00433831" w:rsidRDefault="002A5DB0" w:rsidP="00B569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Top five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Fields of Study</w:t>
      </w:r>
      <w:r w:rsidR="00577B41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</w:t>
      </w:r>
      <w:r w:rsidR="00DE3C33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persons aged 15 years and </w:t>
      </w:r>
      <w:r w:rsid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over who </w:t>
      </w:r>
      <w:r w:rsidR="00577B41">
        <w:rPr>
          <w:rFonts w:ascii="Arial" w:hAnsi="Arial" w:cs="Arial"/>
          <w:b/>
          <w:color w:val="000000" w:themeColor="text1"/>
          <w:sz w:val="28"/>
          <w:szCs w:val="28"/>
        </w:rPr>
        <w:t>stated a completed qualification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45"/>
        <w:gridCol w:w="1181"/>
        <w:gridCol w:w="1843"/>
        <w:gridCol w:w="993"/>
        <w:gridCol w:w="1275"/>
      </w:tblGrid>
      <w:tr w:rsidR="0012464C" w:rsidRPr="008B58A5" w:rsidTr="00E640DC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2464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gridSpan w:val="3"/>
            <w:shd w:val="clear" w:color="auto" w:fill="548DD4" w:themeFill="text2" w:themeFillTint="99"/>
          </w:tcPr>
          <w:p w:rsidR="0012464C" w:rsidRPr="002E42C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1" w:type="dxa"/>
            <w:gridSpan w:val="3"/>
            <w:shd w:val="clear" w:color="auto" w:fill="548DD4" w:themeFill="text2" w:themeFillTint="99"/>
          </w:tcPr>
          <w:p w:rsidR="0012464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2464C" w:rsidRPr="008B58A5" w:rsidTr="00B81315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12464C" w:rsidRPr="002E42C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12464C" w:rsidRPr="002E42CC" w:rsidRDefault="0012464C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45" w:type="dxa"/>
            <w:shd w:val="clear" w:color="auto" w:fill="8DB3E2" w:themeFill="text2" w:themeFillTint="66"/>
            <w:vAlign w:val="center"/>
          </w:tcPr>
          <w:p w:rsidR="0012464C" w:rsidRPr="002E42CC" w:rsidRDefault="0012464C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81" w:type="dxa"/>
            <w:shd w:val="clear" w:color="auto" w:fill="8DB3E2" w:themeFill="text2" w:themeFillTint="66"/>
            <w:vAlign w:val="center"/>
          </w:tcPr>
          <w:p w:rsidR="0012464C" w:rsidRPr="002E42CC" w:rsidRDefault="0012464C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12464C" w:rsidRPr="002E42CC" w:rsidRDefault="0012464C" w:rsidP="00B813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12464C" w:rsidRPr="002E42CC" w:rsidRDefault="0012464C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12464C" w:rsidRPr="002E42CC" w:rsidRDefault="0012464C" w:rsidP="00B8131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8E3A69" w:rsidRPr="008B58A5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Management and Commerce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93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395 (17.2%)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43.0%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57.0%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72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544 (15.3%)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43.6%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56.4%</w:t>
            </w:r>
          </w:p>
        </w:tc>
      </w:tr>
      <w:tr w:rsidR="008E3A69" w:rsidRPr="008B58A5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 xml:space="preserve">Engineering and Related Technologies 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87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470 (16.1%)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93.5%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6.5%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82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826 (17.5%)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93.6%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6.4%</w:t>
            </w:r>
          </w:p>
        </w:tc>
      </w:tr>
      <w:tr w:rsidR="008E3A69" w:rsidRPr="008B58A5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Society and Culture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62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628 (11.6%)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33.6%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66.4%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221 (10.0%)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35.0%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65.0%</w:t>
            </w:r>
          </w:p>
        </w:tc>
      </w:tr>
      <w:tr w:rsidR="008E3A69" w:rsidRPr="008B58A5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Health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59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541 (11.0%)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23.2%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76.8%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48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389 (10.2%)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22.4%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77.6%</w:t>
            </w:r>
          </w:p>
        </w:tc>
      </w:tr>
      <w:tr w:rsidR="008E3A69" w:rsidRPr="008B58A5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Education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39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009 (7.2%)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28.2%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71.8%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34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823 (7.3%)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28.7%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71.3%</w:t>
            </w:r>
          </w:p>
        </w:tc>
      </w:tr>
      <w:tr w:rsidR="008E3A69" w:rsidRPr="008B58A5" w:rsidTr="00B81315">
        <w:tc>
          <w:tcPr>
            <w:tcW w:w="2411" w:type="dxa"/>
            <w:shd w:val="clear" w:color="auto" w:fill="8DB3E2" w:themeFill="text2" w:themeFillTint="66"/>
            <w:vAlign w:val="bottom"/>
          </w:tcPr>
          <w:p w:rsidR="008E3A69" w:rsidRPr="00DD53F3" w:rsidRDefault="008E3A69" w:rsidP="00B813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53F3">
              <w:rPr>
                <w:rFonts w:ascii="Arial" w:hAnsi="Arial" w:cs="Arial"/>
                <w:color w:val="000000"/>
                <w:sz w:val="18"/>
                <w:szCs w:val="18"/>
              </w:rPr>
              <w:t>Total persons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541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731 (100%)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51.8%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48.2%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474</w:t>
            </w:r>
            <w:r w:rsidR="002B634E" w:rsidRPr="00DD53F3">
              <w:rPr>
                <w:rFonts w:ascii="Arial" w:hAnsi="Arial" w:cs="Arial"/>
                <w:sz w:val="18"/>
                <w:szCs w:val="18"/>
              </w:rPr>
              <w:t>,</w:t>
            </w:r>
            <w:r w:rsidRPr="00DD53F3">
              <w:rPr>
                <w:rFonts w:ascii="Arial" w:hAnsi="Arial" w:cs="Arial"/>
                <w:sz w:val="18"/>
                <w:szCs w:val="18"/>
              </w:rPr>
              <w:t>082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47.0%</w:t>
            </w:r>
          </w:p>
        </w:tc>
      </w:tr>
    </w:tbl>
    <w:p w:rsidR="008E3A69" w:rsidRDefault="008E3A69" w:rsidP="008E3A69">
      <w:pPr>
        <w:rPr>
          <w:rFonts w:ascii="Arial" w:hAnsi="Arial" w:cs="Arial"/>
          <w:b/>
          <w:color w:val="000000" w:themeColor="text1"/>
        </w:rPr>
      </w:pPr>
    </w:p>
    <w:p w:rsidR="008E3A69" w:rsidRPr="0028598D" w:rsidRDefault="008E3A69" w:rsidP="008E3A69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548DD4" w:themeColor="text2" w:themeTint="99"/>
        </w:rPr>
      </w:pPr>
      <w:r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In 2011 Management and Commerce (17.2%) and Engineering and Related Technologies (16.1%) were the two most common fields of study completed</w:t>
      </w:r>
      <w:r w:rsidR="00FF3C15"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that were reported by persons aged 15 years and over. These fields were also reported</w:t>
      </w:r>
      <w:r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as the most common fields of study in the 2006 Census.</w:t>
      </w:r>
    </w:p>
    <w:p w:rsidR="008E3A69" w:rsidRPr="0028598D" w:rsidRDefault="008E3A69" w:rsidP="008E3A69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548DD4" w:themeColor="text2" w:themeTint="99"/>
        </w:rPr>
      </w:pPr>
      <w:r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Of those who reported Management and Commerce as their field of study </w:t>
      </w:r>
      <w:r w:rsidR="006F1B15"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in 2011, </w:t>
      </w:r>
      <w:proofErr w:type="gramStart"/>
      <w:r w:rsidR="006F1B15"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a higher proportion were</w:t>
      </w:r>
      <w:proofErr w:type="gramEnd"/>
      <w:r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females (57.0%). Of those who reported Engineering and Related Technologies </w:t>
      </w:r>
      <w:r w:rsidR="006F1B15"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as their field of study, the proportion of males was</w:t>
      </w:r>
      <w:r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significa</w:t>
      </w:r>
      <w:r w:rsidR="006F1B15"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ntly higher </w:t>
      </w:r>
      <w:r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(93.5%).</w:t>
      </w:r>
    </w:p>
    <w:p w:rsidR="008E3A69" w:rsidRPr="0028598D" w:rsidRDefault="008E3A69" w:rsidP="008E3A69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548DD4" w:themeColor="text2" w:themeTint="99"/>
        </w:rPr>
      </w:pPr>
      <w:r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Of those who reported Health, Education and Society and Culture as their fields of study in 2011, </w:t>
      </w:r>
      <w:proofErr w:type="gramStart"/>
      <w:r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>a higher proportion were</w:t>
      </w:r>
      <w:proofErr w:type="gramEnd"/>
      <w:r w:rsidRPr="0028598D">
        <w:rPr>
          <w:rFonts w:ascii="Arial" w:hAnsi="Arial" w:cs="Arial"/>
          <w:b/>
          <w:bCs/>
          <w:color w:val="548DD4" w:themeColor="text2" w:themeTint="99"/>
          <w:sz w:val="18"/>
          <w:szCs w:val="18"/>
        </w:rPr>
        <w:t xml:space="preserve"> females (76.8%, 71.8% and 66.4% respectively). </w:t>
      </w:r>
    </w:p>
    <w:p w:rsidR="00233455" w:rsidRDefault="00233455"/>
    <w:p w:rsidR="00CE1624" w:rsidRPr="00726F2A" w:rsidRDefault="00CE1624" w:rsidP="008E3A69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8E3A69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8E3A69">
      <w:pPr>
        <w:pStyle w:val="ListParagraph"/>
        <w:rPr>
          <w:rFonts w:ascii="Arial" w:hAnsi="Arial" w:cs="Arial"/>
          <w:b/>
          <w:color w:val="000000" w:themeColor="text1"/>
        </w:rPr>
      </w:pPr>
    </w:p>
    <w:p w:rsidR="00E640DC" w:rsidRDefault="00E640D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8E3A69" w:rsidP="00E640D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Adelaide</w:t>
      </w:r>
    </w:p>
    <w:p w:rsidR="00E640DC" w:rsidRPr="00BF1EC3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5D9" w:rsidRPr="00577B41" w:rsidRDefault="00726F2A" w:rsidP="00577B41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op </w:t>
      </w:r>
      <w:r w:rsidR="00FE35B9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M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>ethods of travel to work</w:t>
      </w:r>
      <w:r w:rsidR="00DE3C33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DE3C33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3402"/>
        <w:gridCol w:w="2835"/>
      </w:tblGrid>
      <w:tr w:rsidR="002A47EB" w:rsidRPr="008B58A5" w:rsidTr="00B81315">
        <w:tc>
          <w:tcPr>
            <w:tcW w:w="269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A47EB" w:rsidRPr="00DE547A" w:rsidRDefault="002A47EB" w:rsidP="00DE547A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548DD4" w:themeFill="text2" w:themeFillTint="99"/>
          </w:tcPr>
          <w:p w:rsidR="002A47EB" w:rsidRPr="002E42CC" w:rsidRDefault="002A47EB" w:rsidP="00D053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835" w:type="dxa"/>
            <w:shd w:val="clear" w:color="auto" w:fill="548DD4" w:themeFill="text2" w:themeFillTint="99"/>
          </w:tcPr>
          <w:p w:rsidR="002A47EB" w:rsidRPr="002E42CC" w:rsidRDefault="002A47EB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RPr="008B58A5" w:rsidTr="00F93F15"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Pr="00DE547A" w:rsidRDefault="002A47EB" w:rsidP="00726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8DB3E2" w:themeFill="text2" w:themeFillTint="66"/>
            <w:vAlign w:val="center"/>
          </w:tcPr>
          <w:p w:rsidR="002A47EB" w:rsidRPr="002E42CC" w:rsidRDefault="002A47EB" w:rsidP="00F93F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2A47EB" w:rsidRPr="002E42CC" w:rsidRDefault="002A47EB" w:rsidP="00F93F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</w:tr>
      <w:tr w:rsidR="008E3A69" w:rsidRPr="008B58A5" w:rsidTr="00B81315">
        <w:tc>
          <w:tcPr>
            <w:tcW w:w="2693" w:type="dxa"/>
            <w:shd w:val="clear" w:color="auto" w:fill="8DB3E2" w:themeFill="text2" w:themeFillTint="66"/>
            <w:vAlign w:val="center"/>
          </w:tcPr>
          <w:p w:rsidR="008E3A69" w:rsidRPr="00DD53F3" w:rsidRDefault="008E3A69" w:rsidP="008E3A69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Car, as driver</w:t>
            </w: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369,250 (64.0%)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337,084 (63.1%)</w:t>
            </w:r>
          </w:p>
        </w:tc>
      </w:tr>
      <w:tr w:rsidR="008E3A69" w:rsidRPr="008B58A5" w:rsidTr="00B81315">
        <w:tc>
          <w:tcPr>
            <w:tcW w:w="2693" w:type="dxa"/>
            <w:shd w:val="clear" w:color="auto" w:fill="8DB3E2" w:themeFill="text2" w:themeFillTint="66"/>
            <w:vAlign w:val="center"/>
          </w:tcPr>
          <w:p w:rsidR="008E3A69" w:rsidRPr="00DD53F3" w:rsidRDefault="008E3A69" w:rsidP="008E3A69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Car, as passenger</w:t>
            </w: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</w:t>
            </w:r>
            <w:proofErr w:type="gramStart"/>
            <w:r w:rsidRPr="00DD53F3">
              <w:rPr>
                <w:rFonts w:ascii="Arial" w:hAnsi="Arial" w:cs="Arial"/>
                <w:sz w:val="18"/>
                <w:szCs w:val="18"/>
              </w:rPr>
              <w:t>,0241</w:t>
            </w:r>
            <w:proofErr w:type="gramEnd"/>
            <w:r w:rsidRPr="00DD53F3">
              <w:rPr>
                <w:rFonts w:ascii="Arial" w:hAnsi="Arial" w:cs="Arial"/>
                <w:sz w:val="18"/>
                <w:szCs w:val="18"/>
              </w:rPr>
              <w:t xml:space="preserve"> (5.2%)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29,694 (5.6%)</w:t>
            </w:r>
          </w:p>
        </w:tc>
      </w:tr>
      <w:tr w:rsidR="008E3A69" w:rsidRPr="008B58A5" w:rsidTr="00B81315">
        <w:tc>
          <w:tcPr>
            <w:tcW w:w="2693" w:type="dxa"/>
            <w:shd w:val="clear" w:color="auto" w:fill="8DB3E2" w:themeFill="text2" w:themeFillTint="66"/>
            <w:vAlign w:val="center"/>
          </w:tcPr>
          <w:p w:rsidR="008E3A69" w:rsidRPr="00DD53F3" w:rsidRDefault="008E3A69" w:rsidP="008E3A69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Bus</w:t>
            </w: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</w:t>
            </w:r>
            <w:proofErr w:type="gramStart"/>
            <w:r w:rsidRPr="00DD53F3">
              <w:rPr>
                <w:rFonts w:ascii="Arial" w:hAnsi="Arial" w:cs="Arial"/>
                <w:sz w:val="18"/>
                <w:szCs w:val="18"/>
              </w:rPr>
              <w:t>,8941</w:t>
            </w:r>
            <w:proofErr w:type="gramEnd"/>
            <w:r w:rsidRPr="00DD53F3">
              <w:rPr>
                <w:rFonts w:ascii="Arial" w:hAnsi="Arial" w:cs="Arial"/>
                <w:sz w:val="18"/>
                <w:szCs w:val="18"/>
              </w:rPr>
              <w:t xml:space="preserve"> (5.0%)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27,127 (5.1%)</w:t>
            </w:r>
          </w:p>
        </w:tc>
      </w:tr>
      <w:tr w:rsidR="008E3A69" w:rsidRPr="008B58A5" w:rsidTr="00B81315">
        <w:tc>
          <w:tcPr>
            <w:tcW w:w="2693" w:type="dxa"/>
            <w:shd w:val="clear" w:color="auto" w:fill="8DB3E2" w:themeFill="text2" w:themeFillTint="66"/>
            <w:vAlign w:val="center"/>
          </w:tcPr>
          <w:p w:rsidR="008E3A69" w:rsidRPr="00DD53F3" w:rsidRDefault="008E3A69" w:rsidP="008E3A69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Walked only</w:t>
            </w: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14,290 (2.5%)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14,328 (2.7%)</w:t>
            </w:r>
          </w:p>
        </w:tc>
      </w:tr>
      <w:tr w:rsidR="008E3A69" w:rsidRPr="008B58A5" w:rsidTr="00B81315">
        <w:tc>
          <w:tcPr>
            <w:tcW w:w="2693" w:type="dxa"/>
            <w:shd w:val="clear" w:color="auto" w:fill="8DB3E2" w:themeFill="text2" w:themeFillTint="66"/>
            <w:vAlign w:val="center"/>
          </w:tcPr>
          <w:p w:rsidR="008E3A69" w:rsidRPr="00DD53F3" w:rsidRDefault="008E3A69" w:rsidP="008E3A69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Train</w:t>
            </w: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7,320 (1.3%)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8E3A69" w:rsidRPr="00DD53F3" w:rsidRDefault="008E3A69" w:rsidP="00B813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6,749 (1.3%)</w:t>
            </w:r>
          </w:p>
        </w:tc>
      </w:tr>
      <w:tr w:rsidR="008E3A69" w:rsidRPr="008B58A5" w:rsidTr="00B81315">
        <w:tc>
          <w:tcPr>
            <w:tcW w:w="2693" w:type="dxa"/>
            <w:shd w:val="clear" w:color="auto" w:fill="8DB3E2" w:themeFill="text2" w:themeFillTint="66"/>
          </w:tcPr>
          <w:p w:rsidR="008E3A69" w:rsidRPr="00DD53F3" w:rsidRDefault="008E3A69" w:rsidP="008E3A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53F3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8E3A69" w:rsidRPr="00DD53F3" w:rsidRDefault="008E3A69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576,823 (100%)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8E3A69" w:rsidRPr="00DD53F3" w:rsidRDefault="008E3A69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534,621 (100%)</w:t>
            </w:r>
          </w:p>
        </w:tc>
      </w:tr>
    </w:tbl>
    <w:p w:rsidR="008E3A69" w:rsidRDefault="008E3A69" w:rsidP="008E3A69">
      <w:pPr>
        <w:rPr>
          <w:rFonts w:ascii="Arial" w:hAnsi="Arial" w:cs="Arial"/>
          <w:b/>
          <w:color w:val="000000" w:themeColor="text1"/>
        </w:rPr>
      </w:pPr>
    </w:p>
    <w:p w:rsidR="008E3A69" w:rsidRPr="008E3A69" w:rsidRDefault="008E3A69" w:rsidP="00F93F1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Transport by car c</w:t>
      </w:r>
      <w:r w:rsidR="002051A4">
        <w:rPr>
          <w:rFonts w:ascii="Arial" w:hAnsi="Arial" w:cs="Arial"/>
          <w:b/>
          <w:bCs/>
          <w:color w:val="4181C0"/>
          <w:sz w:val="18"/>
          <w:szCs w:val="18"/>
        </w:rPr>
        <w:t>ontinues to be the most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reported method of travel to work. Just over two third</w:t>
      </w:r>
      <w:r w:rsidR="002051A4">
        <w:rPr>
          <w:rFonts w:ascii="Arial" w:hAnsi="Arial" w:cs="Arial"/>
          <w:b/>
          <w:bCs/>
          <w:color w:val="4181C0"/>
          <w:sz w:val="18"/>
          <w:szCs w:val="18"/>
        </w:rPr>
        <w:t>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(69.2%) of employed persons </w:t>
      </w:r>
      <w:r w:rsidR="002051A4">
        <w:rPr>
          <w:rFonts w:ascii="Arial" w:hAnsi="Arial" w:cs="Arial"/>
          <w:b/>
          <w:bCs/>
          <w:color w:val="4181C0"/>
          <w:sz w:val="18"/>
          <w:szCs w:val="18"/>
        </w:rPr>
        <w:t xml:space="preserve">aged 15 years and over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reported </w:t>
      </w:r>
      <w:r w:rsidR="002051A4">
        <w:rPr>
          <w:rFonts w:ascii="Arial" w:hAnsi="Arial" w:cs="Arial"/>
          <w:b/>
          <w:bCs/>
          <w:color w:val="4181C0"/>
          <w:sz w:val="18"/>
          <w:szCs w:val="18"/>
        </w:rPr>
        <w:t>that they travelled to work by c</w:t>
      </w:r>
      <w:r>
        <w:rPr>
          <w:rFonts w:ascii="Arial" w:hAnsi="Arial" w:cs="Arial"/>
          <w:b/>
          <w:bCs/>
          <w:color w:val="4181C0"/>
          <w:sz w:val="18"/>
          <w:szCs w:val="18"/>
        </w:rPr>
        <w:t>ar (either as driver or a passenger) on 9 August 2011.</w:t>
      </w:r>
    </w:p>
    <w:p w:rsidR="00CE1624" w:rsidRPr="00726F2A" w:rsidRDefault="008E3A69" w:rsidP="00F93F1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color w:val="000000"/>
          <w:lang w:eastAsia="en-AU"/>
        </w:rPr>
      </w:pPr>
      <w:r w:rsidRPr="00FD3048">
        <w:rPr>
          <w:rFonts w:ascii="Arial" w:hAnsi="Arial" w:cs="Arial"/>
          <w:b/>
          <w:bCs/>
          <w:color w:val="4181C0"/>
          <w:sz w:val="18"/>
          <w:szCs w:val="18"/>
        </w:rPr>
        <w:t>The</w:t>
      </w:r>
      <w:r w:rsidR="00075DB8" w:rsidRPr="00FD3048">
        <w:rPr>
          <w:rFonts w:ascii="Arial" w:hAnsi="Arial" w:cs="Arial"/>
          <w:b/>
          <w:bCs/>
          <w:color w:val="4181C0"/>
          <w:sz w:val="18"/>
          <w:szCs w:val="18"/>
        </w:rPr>
        <w:t xml:space="preserve"> number of persons who walked</w:t>
      </w:r>
      <w:r w:rsidR="00FD3048" w:rsidRPr="00FD3048">
        <w:rPr>
          <w:rFonts w:ascii="Arial" w:hAnsi="Arial" w:cs="Arial"/>
          <w:b/>
          <w:bCs/>
          <w:color w:val="4181C0"/>
          <w:sz w:val="18"/>
          <w:szCs w:val="18"/>
        </w:rPr>
        <w:t xml:space="preserve"> to work</w:t>
      </w:r>
      <w:r w:rsidRPr="00FD3048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075DB8" w:rsidRPr="00FD3048">
        <w:rPr>
          <w:rFonts w:ascii="Arial" w:hAnsi="Arial" w:cs="Arial"/>
          <w:b/>
          <w:bCs/>
          <w:color w:val="4181C0"/>
          <w:sz w:val="18"/>
          <w:szCs w:val="18"/>
        </w:rPr>
        <w:t xml:space="preserve">has </w:t>
      </w:r>
      <w:r w:rsidR="00FD3048" w:rsidRPr="00FD3048">
        <w:rPr>
          <w:rFonts w:ascii="Arial" w:hAnsi="Arial" w:cs="Arial"/>
          <w:b/>
          <w:bCs/>
          <w:color w:val="4181C0"/>
          <w:sz w:val="18"/>
          <w:szCs w:val="18"/>
        </w:rPr>
        <w:t>decreased slightly from 14,328 in 2006 to 14,290</w:t>
      </w:r>
      <w:r w:rsidRPr="00FD3048">
        <w:rPr>
          <w:rFonts w:ascii="Arial" w:hAnsi="Arial" w:cs="Arial"/>
          <w:b/>
          <w:bCs/>
          <w:color w:val="4181C0"/>
          <w:sz w:val="18"/>
          <w:szCs w:val="18"/>
        </w:rPr>
        <w:t xml:space="preserve"> in 2011. </w:t>
      </w:r>
    </w:p>
    <w:p w:rsidR="00CE1624" w:rsidRPr="00CE1624" w:rsidRDefault="00CE1624" w:rsidP="008E3A69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8E3A69">
      <w:pPr>
        <w:pStyle w:val="ListParagraph"/>
        <w:rPr>
          <w:rFonts w:ascii="Arial" w:hAnsi="Arial" w:cs="Arial"/>
          <w:b/>
          <w:color w:val="000000" w:themeColor="text1"/>
        </w:rPr>
      </w:pPr>
    </w:p>
    <w:p w:rsidR="00726F2A" w:rsidRDefault="00726F2A" w:rsidP="00936274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CE1624" w:rsidRDefault="00CE1624">
      <w:p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eastAsia="Times New Roman" w:hAnsi="Arial" w:cs="Arial"/>
          <w:b/>
          <w:color w:val="000000"/>
          <w:lang w:eastAsia="en-AU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8E3A69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Adelaide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77B41" w:rsidRPr="00EA6D61" w:rsidRDefault="00EA6D61" w:rsidP="00577B41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  <w:r w:rsidRPr="00EA6D61">
        <w:rPr>
          <w:rFonts w:ascii="Arial" w:eastAsia="Times New Roman" w:hAnsi="Arial" w:cs="Arial"/>
          <w:b/>
          <w:color w:val="000000"/>
          <w:lang w:eastAsia="en-AU"/>
        </w:rPr>
        <w:t xml:space="preserve">Place of usual residence one year ago for Greater Adelaide residents who moved in the year prior to 2011 (excluding persons aged </w:t>
      </w:r>
      <w:proofErr w:type="gramStart"/>
      <w:r w:rsidRPr="00EA6D61">
        <w:rPr>
          <w:rFonts w:ascii="Arial" w:eastAsia="Times New Roman" w:hAnsi="Arial" w:cs="Arial"/>
          <w:b/>
          <w:color w:val="000000"/>
          <w:lang w:eastAsia="en-AU"/>
        </w:rPr>
        <w:t>under</w:t>
      </w:r>
      <w:proofErr w:type="gramEnd"/>
      <w:r w:rsidRPr="00EA6D61">
        <w:rPr>
          <w:rFonts w:ascii="Arial" w:eastAsia="Times New Roman" w:hAnsi="Arial" w:cs="Arial"/>
          <w:b/>
          <w:color w:val="000000"/>
          <w:lang w:eastAsia="en-AU"/>
        </w:rPr>
        <w:t xml:space="preserve"> one year)</w:t>
      </w:r>
    </w:p>
    <w:tbl>
      <w:tblPr>
        <w:tblStyle w:val="TableGrid"/>
        <w:tblW w:w="8930" w:type="dxa"/>
        <w:tblInd w:w="250" w:type="dxa"/>
        <w:tblLook w:val="04A0" w:firstRow="1" w:lastRow="0" w:firstColumn="1" w:lastColumn="0" w:noHBand="0" w:noVBand="1"/>
      </w:tblPr>
      <w:tblGrid>
        <w:gridCol w:w="2693"/>
        <w:gridCol w:w="3119"/>
        <w:gridCol w:w="3118"/>
      </w:tblGrid>
      <w:tr w:rsidR="00F93F15" w:rsidTr="0028598D">
        <w:trPr>
          <w:trHeight w:val="340"/>
        </w:trPr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742EC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119" w:type="dxa"/>
            <w:shd w:val="clear" w:color="auto" w:fill="548DD4" w:themeFill="text2" w:themeFillTint="99"/>
            <w:vAlign w:val="center"/>
          </w:tcPr>
          <w:p w:rsidR="002A47EB" w:rsidRPr="00140DF9" w:rsidRDefault="002A47EB" w:rsidP="00F93F1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3118" w:type="dxa"/>
            <w:shd w:val="clear" w:color="auto" w:fill="548DD4" w:themeFill="text2" w:themeFillTint="99"/>
            <w:vAlign w:val="center"/>
          </w:tcPr>
          <w:p w:rsidR="002A47EB" w:rsidRPr="00140DF9" w:rsidRDefault="002A47EB" w:rsidP="00F93F1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F93F15" w:rsidTr="002859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8E3A69" w:rsidRPr="00DD53F3" w:rsidRDefault="008E3A69" w:rsidP="00F93F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8E3A69" w:rsidRPr="00DD53F3" w:rsidRDefault="008E3A69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133,079 (80.6%)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8E3A69" w:rsidRPr="00DD53F3" w:rsidRDefault="008E3A69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127,413 (80.2%)</w:t>
            </w:r>
          </w:p>
        </w:tc>
      </w:tr>
      <w:tr w:rsidR="00F93F15" w:rsidTr="002859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8E3A69" w:rsidRPr="00DD53F3" w:rsidRDefault="008E3A69" w:rsidP="00F93F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 xml:space="preserve">Interstate 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8E3A69" w:rsidRPr="00DD53F3" w:rsidRDefault="008E3A69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14,358 (8.7%)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8E3A69" w:rsidRPr="00DD53F3" w:rsidRDefault="008E3A69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13,684 (8.6%)</w:t>
            </w:r>
          </w:p>
        </w:tc>
      </w:tr>
      <w:tr w:rsidR="00F93F15" w:rsidTr="002859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8E3A69" w:rsidRPr="00DD53F3" w:rsidRDefault="008E3A69" w:rsidP="00F93F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8E3A69" w:rsidRPr="00DD53F3" w:rsidRDefault="008E3A69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15,707 (9.5%)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8E3A69" w:rsidRPr="00DD53F3" w:rsidRDefault="008E3A69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16,240 (10.2%)</w:t>
            </w:r>
          </w:p>
        </w:tc>
      </w:tr>
      <w:tr w:rsidR="00F93F15" w:rsidTr="002859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8E3A69" w:rsidRPr="00DD53F3" w:rsidRDefault="008E3A69" w:rsidP="00F93F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8E3A69" w:rsidRPr="00DD53F3" w:rsidRDefault="008E3A69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165,063</w:t>
            </w:r>
            <w:r w:rsidRPr="00DD53F3">
              <w:rPr>
                <w:rFonts w:ascii="Arial" w:hAnsi="Arial" w:cs="Arial"/>
                <w:color w:val="000000"/>
                <w:sz w:val="18"/>
                <w:szCs w:val="18"/>
              </w:rPr>
              <w:t xml:space="preserve"> (100.0%)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8E3A69" w:rsidRPr="00DD53F3" w:rsidRDefault="008E3A69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158,791 (100.0%)</w:t>
            </w:r>
          </w:p>
        </w:tc>
      </w:tr>
    </w:tbl>
    <w:p w:rsidR="00D97D6E" w:rsidRPr="00FE2CC6" w:rsidRDefault="00D97D6E" w:rsidP="00D97D6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97D6E" w:rsidRPr="000D3BE0" w:rsidRDefault="00D97D6E" w:rsidP="00F93F15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Greater Adelaide residents who moved in the year prior to </w:t>
      </w:r>
      <w:r w:rsidR="00EA6D61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2011 Census</w:t>
      </w:r>
      <w:r w:rsidR="00EA6D61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most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from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 (80.6%).</w:t>
      </w:r>
      <w:r w:rsidRPr="003E72DA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:rsidR="00CE1624" w:rsidRPr="00D97D6E" w:rsidRDefault="00D97D6E" w:rsidP="00F93F15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There were 15,707 (9.5%) persons who either returned or migrated to Australia, from overseas, to settle in Greater Adelaide, in the year prior to </w:t>
      </w:r>
      <w:r w:rsidR="00EA6D61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2011 Census.</w:t>
      </w:r>
    </w:p>
    <w:p w:rsidR="00CE1624" w:rsidRPr="00CE1624" w:rsidRDefault="00CE1624" w:rsidP="00D97D6E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D97D6E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6641B" w:rsidRDefault="00C6641B" w:rsidP="002A47EB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EA6D61" w:rsidRPr="00EA6D61" w:rsidRDefault="00EA6D61" w:rsidP="00EA6D61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  <w:r w:rsidRPr="00EA6D61">
        <w:rPr>
          <w:rFonts w:ascii="Arial" w:eastAsia="Times New Roman" w:hAnsi="Arial" w:cs="Arial"/>
          <w:b/>
          <w:color w:val="000000"/>
          <w:lang w:eastAsia="en-AU"/>
        </w:rPr>
        <w:t xml:space="preserve">Place of usual residence five years ago for Greater Adelaide residents who moved in the five years prior to 2011 (excluding persons aged </w:t>
      </w:r>
      <w:proofErr w:type="gramStart"/>
      <w:r w:rsidRPr="00EA6D61">
        <w:rPr>
          <w:rFonts w:ascii="Arial" w:eastAsia="Times New Roman" w:hAnsi="Arial" w:cs="Arial"/>
          <w:b/>
          <w:color w:val="000000"/>
          <w:lang w:eastAsia="en-AU"/>
        </w:rPr>
        <w:t>under</w:t>
      </w:r>
      <w:proofErr w:type="gramEnd"/>
      <w:r w:rsidRPr="00EA6D61">
        <w:rPr>
          <w:rFonts w:ascii="Arial" w:eastAsia="Times New Roman" w:hAnsi="Arial" w:cs="Arial"/>
          <w:b/>
          <w:color w:val="000000"/>
          <w:lang w:eastAsia="en-AU"/>
        </w:rPr>
        <w:t xml:space="preserve"> five years)</w:t>
      </w:r>
    </w:p>
    <w:tbl>
      <w:tblPr>
        <w:tblStyle w:val="TableGrid"/>
        <w:tblW w:w="8930" w:type="dxa"/>
        <w:tblInd w:w="250" w:type="dxa"/>
        <w:tblLook w:val="04A0" w:firstRow="1" w:lastRow="0" w:firstColumn="1" w:lastColumn="0" w:noHBand="0" w:noVBand="1"/>
      </w:tblPr>
      <w:tblGrid>
        <w:gridCol w:w="2693"/>
        <w:gridCol w:w="3119"/>
        <w:gridCol w:w="3118"/>
      </w:tblGrid>
      <w:tr w:rsidR="002A47EB" w:rsidTr="0028598D">
        <w:trPr>
          <w:trHeight w:val="340"/>
        </w:trPr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2A47E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119" w:type="dxa"/>
            <w:shd w:val="clear" w:color="auto" w:fill="548DD4" w:themeFill="text2" w:themeFillTint="99"/>
            <w:vAlign w:val="center"/>
          </w:tcPr>
          <w:p w:rsidR="002A47EB" w:rsidRPr="00140DF9" w:rsidRDefault="002A47EB" w:rsidP="00F93F1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3118" w:type="dxa"/>
            <w:shd w:val="clear" w:color="auto" w:fill="548DD4" w:themeFill="text2" w:themeFillTint="99"/>
            <w:vAlign w:val="center"/>
          </w:tcPr>
          <w:p w:rsidR="002A47EB" w:rsidRPr="00140DF9" w:rsidRDefault="002A47EB" w:rsidP="00F93F1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D97D6E" w:rsidTr="002859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D97D6E" w:rsidRPr="00DD53F3" w:rsidRDefault="00D97D6E" w:rsidP="00F93F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D97D6E" w:rsidRPr="00DD53F3" w:rsidRDefault="00D97D6E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306,540 (73.6%)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D97D6E" w:rsidRPr="00DD53F3" w:rsidRDefault="00D97D6E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308,883 (78.7%)</w:t>
            </w:r>
          </w:p>
        </w:tc>
      </w:tr>
      <w:tr w:rsidR="00D97D6E" w:rsidTr="002859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D97D6E" w:rsidRPr="00DD53F3" w:rsidRDefault="00D97D6E" w:rsidP="00F93F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 xml:space="preserve">Interstate 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D97D6E" w:rsidRPr="00DD53F3" w:rsidRDefault="00D97D6E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 xml:space="preserve">36,398 (8.7%) 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D97D6E" w:rsidRPr="00DD53F3" w:rsidRDefault="00D97D6E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37,555 (9.6%)</w:t>
            </w:r>
          </w:p>
        </w:tc>
      </w:tr>
      <w:tr w:rsidR="00D97D6E" w:rsidTr="002859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D97D6E" w:rsidRPr="00DD53F3" w:rsidRDefault="00D97D6E" w:rsidP="00F93F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D97D6E" w:rsidRPr="00DD53F3" w:rsidRDefault="00D97D6E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68,424 (16.4%)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D97D6E" w:rsidRPr="00DD53F3" w:rsidRDefault="00D97D6E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41,855 (10.7%)</w:t>
            </w:r>
          </w:p>
        </w:tc>
      </w:tr>
      <w:tr w:rsidR="00D97D6E" w:rsidTr="0028598D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D97D6E" w:rsidRPr="00DD53F3" w:rsidRDefault="00D97D6E" w:rsidP="00F93F15">
            <w:pPr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119" w:type="dxa"/>
            <w:shd w:val="clear" w:color="auto" w:fill="C6D9F1" w:themeFill="text2" w:themeFillTint="33"/>
            <w:vAlign w:val="bottom"/>
          </w:tcPr>
          <w:p w:rsidR="00D97D6E" w:rsidRPr="00DD53F3" w:rsidRDefault="00D97D6E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416,479 (100.0%)</w:t>
            </w:r>
          </w:p>
        </w:tc>
        <w:tc>
          <w:tcPr>
            <w:tcW w:w="3118" w:type="dxa"/>
            <w:shd w:val="clear" w:color="auto" w:fill="C6D9F1" w:themeFill="text2" w:themeFillTint="33"/>
            <w:vAlign w:val="bottom"/>
          </w:tcPr>
          <w:p w:rsidR="00D97D6E" w:rsidRPr="00DD53F3" w:rsidRDefault="00D97D6E" w:rsidP="00F93F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3F3">
              <w:rPr>
                <w:rFonts w:ascii="Arial" w:hAnsi="Arial" w:cs="Arial"/>
                <w:sz w:val="18"/>
                <w:szCs w:val="18"/>
              </w:rPr>
              <w:t>392,395 (100.0%)</w:t>
            </w:r>
          </w:p>
        </w:tc>
      </w:tr>
    </w:tbl>
    <w:p w:rsidR="00D97D6E" w:rsidRPr="00FE2CC6" w:rsidRDefault="00D97D6E" w:rsidP="00D97D6E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D97D6E" w:rsidRPr="000D3BE0" w:rsidRDefault="00D97D6E" w:rsidP="00F93F15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Greater Adelaide residents who moved </w:t>
      </w:r>
      <w:r w:rsidR="00EA6D61">
        <w:rPr>
          <w:rFonts w:ascii="Arial" w:hAnsi="Arial" w:cs="Arial"/>
          <w:b/>
          <w:bCs/>
          <w:color w:val="4181C0"/>
          <w:sz w:val="18"/>
          <w:szCs w:val="18"/>
        </w:rPr>
        <w:t xml:space="preserve">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five years prior to 2011 Census</w:t>
      </w:r>
      <w:r w:rsidR="00EA6D61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most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from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 (73.6%).</w:t>
      </w:r>
      <w:r w:rsidRPr="003E72DA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:rsidR="00D97D6E" w:rsidRPr="000D3BE0" w:rsidRDefault="00D97D6E" w:rsidP="00F93F15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There were 68,424 (16.4%) persons who either returned or migrated to Australia, from overseas, to settle in Greater Adelaide, </w:t>
      </w:r>
      <w:r w:rsidR="00EA6D61">
        <w:rPr>
          <w:rFonts w:ascii="Arial" w:hAnsi="Arial" w:cs="Arial"/>
          <w:b/>
          <w:bCs/>
          <w:color w:val="4181C0"/>
          <w:sz w:val="18"/>
          <w:szCs w:val="18"/>
        </w:rPr>
        <w:t xml:space="preserve">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five years prior to the 2011 Census.</w:t>
      </w:r>
    </w:p>
    <w:p w:rsidR="002A47EB" w:rsidRDefault="002A47EB" w:rsidP="002A47EB">
      <w:pPr>
        <w:rPr>
          <w:rFonts w:ascii="Arial" w:hAnsi="Arial" w:cs="Arial"/>
          <w:b/>
        </w:rPr>
      </w:pPr>
    </w:p>
    <w:p w:rsidR="00CE1624" w:rsidRPr="00726F2A" w:rsidRDefault="00CE1624" w:rsidP="00D97D6E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D97D6E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D97D6E">
      <w:pPr>
        <w:pStyle w:val="ListParagraph"/>
        <w:rPr>
          <w:rFonts w:ascii="Arial" w:hAnsi="Arial" w:cs="Arial"/>
          <w:b/>
          <w:color w:val="000000" w:themeColor="text1"/>
        </w:rPr>
      </w:pPr>
    </w:p>
    <w:p w:rsidR="002A47EB" w:rsidRDefault="002B634E" w:rsidP="00D97D6E">
      <w:pPr>
        <w:pStyle w:val="ListParagraph"/>
      </w:pPr>
      <w:r>
        <w:t>,</w:t>
      </w:r>
    </w:p>
    <w:sectPr w:rsidR="002A47EB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15" w:rsidRDefault="00B81315" w:rsidP="00FB2000">
      <w:pPr>
        <w:spacing w:after="0" w:line="240" w:lineRule="auto"/>
      </w:pPr>
      <w:r>
        <w:separator/>
      </w:r>
    </w:p>
  </w:endnote>
  <w:endnote w:type="continuationSeparator" w:id="0">
    <w:p w:rsidR="00B81315" w:rsidRDefault="00B81315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315" w:rsidRDefault="00B8131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A1A6035" wp14:editId="60E9BEF2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1315" w:rsidRDefault="00B81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15" w:rsidRDefault="00B81315" w:rsidP="00FB2000">
      <w:pPr>
        <w:spacing w:after="0" w:line="240" w:lineRule="auto"/>
      </w:pPr>
      <w:r>
        <w:separator/>
      </w:r>
    </w:p>
  </w:footnote>
  <w:footnote w:type="continuationSeparator" w:id="0">
    <w:p w:rsidR="00B81315" w:rsidRDefault="00B81315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315" w:rsidRDefault="00B8131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D9F6438" wp14:editId="16D4BB19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B81315" w:rsidRDefault="00B813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085796B"/>
    <w:multiLevelType w:val="hybridMultilevel"/>
    <w:tmpl w:val="857687B0"/>
    <w:lvl w:ilvl="0" w:tplc="872AB5AC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178047E7"/>
    <w:multiLevelType w:val="hybridMultilevel"/>
    <w:tmpl w:val="6AF49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E1505"/>
    <w:multiLevelType w:val="hybridMultilevel"/>
    <w:tmpl w:val="2E9C7256"/>
    <w:lvl w:ilvl="0" w:tplc="872A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8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E237B"/>
    <w:multiLevelType w:val="hybridMultilevel"/>
    <w:tmpl w:val="A0BA90C4"/>
    <w:lvl w:ilvl="0" w:tplc="872A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97F07"/>
    <w:multiLevelType w:val="hybridMultilevel"/>
    <w:tmpl w:val="E2CADAF8"/>
    <w:lvl w:ilvl="0" w:tplc="872A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C6DB6"/>
    <w:multiLevelType w:val="hybridMultilevel"/>
    <w:tmpl w:val="7054BE48"/>
    <w:lvl w:ilvl="0" w:tplc="872A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2"/>
  </w:num>
  <w:num w:numId="12">
    <w:abstractNumId w:val="11"/>
  </w:num>
  <w:num w:numId="13">
    <w:abstractNumId w:val="14"/>
  </w:num>
  <w:num w:numId="14">
    <w:abstractNumId w:val="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41104"/>
    <w:rsid w:val="0004210F"/>
    <w:rsid w:val="000440A8"/>
    <w:rsid w:val="00072012"/>
    <w:rsid w:val="00075DB8"/>
    <w:rsid w:val="000772DD"/>
    <w:rsid w:val="00091772"/>
    <w:rsid w:val="000A0AA0"/>
    <w:rsid w:val="000B0EEA"/>
    <w:rsid w:val="000B6B37"/>
    <w:rsid w:val="000C3003"/>
    <w:rsid w:val="000E2693"/>
    <w:rsid w:val="000E619A"/>
    <w:rsid w:val="00102354"/>
    <w:rsid w:val="0011409D"/>
    <w:rsid w:val="00117A88"/>
    <w:rsid w:val="001222EF"/>
    <w:rsid w:val="0012464C"/>
    <w:rsid w:val="00126662"/>
    <w:rsid w:val="00142FDA"/>
    <w:rsid w:val="001545DB"/>
    <w:rsid w:val="00195295"/>
    <w:rsid w:val="001A2626"/>
    <w:rsid w:val="001A320D"/>
    <w:rsid w:val="001B4E57"/>
    <w:rsid w:val="001B6491"/>
    <w:rsid w:val="001C3BDA"/>
    <w:rsid w:val="001C5AD9"/>
    <w:rsid w:val="001D5700"/>
    <w:rsid w:val="00200A52"/>
    <w:rsid w:val="002051A4"/>
    <w:rsid w:val="002236FF"/>
    <w:rsid w:val="00233455"/>
    <w:rsid w:val="0023602E"/>
    <w:rsid w:val="0027431A"/>
    <w:rsid w:val="00276567"/>
    <w:rsid w:val="002848F0"/>
    <w:rsid w:val="0028598D"/>
    <w:rsid w:val="002A47EB"/>
    <w:rsid w:val="002A5DB0"/>
    <w:rsid w:val="002B634E"/>
    <w:rsid w:val="002C53F7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836C7"/>
    <w:rsid w:val="003C4AEC"/>
    <w:rsid w:val="003E6C00"/>
    <w:rsid w:val="003E7905"/>
    <w:rsid w:val="003F1FA6"/>
    <w:rsid w:val="0040658F"/>
    <w:rsid w:val="00430AF6"/>
    <w:rsid w:val="00433831"/>
    <w:rsid w:val="00442F63"/>
    <w:rsid w:val="00453A95"/>
    <w:rsid w:val="004752F8"/>
    <w:rsid w:val="004B1834"/>
    <w:rsid w:val="004F0023"/>
    <w:rsid w:val="00501823"/>
    <w:rsid w:val="00507121"/>
    <w:rsid w:val="0051406F"/>
    <w:rsid w:val="00520693"/>
    <w:rsid w:val="005355E7"/>
    <w:rsid w:val="0054273D"/>
    <w:rsid w:val="0056133B"/>
    <w:rsid w:val="00576A85"/>
    <w:rsid w:val="00577B41"/>
    <w:rsid w:val="00584AA0"/>
    <w:rsid w:val="00587BA7"/>
    <w:rsid w:val="00594664"/>
    <w:rsid w:val="005C1188"/>
    <w:rsid w:val="005C397A"/>
    <w:rsid w:val="005D2C2E"/>
    <w:rsid w:val="005D736F"/>
    <w:rsid w:val="00604ABE"/>
    <w:rsid w:val="006250FC"/>
    <w:rsid w:val="00664E93"/>
    <w:rsid w:val="00677868"/>
    <w:rsid w:val="006A7683"/>
    <w:rsid w:val="006B2AB5"/>
    <w:rsid w:val="006B4BFF"/>
    <w:rsid w:val="006C45E4"/>
    <w:rsid w:val="006E0FBB"/>
    <w:rsid w:val="006E1414"/>
    <w:rsid w:val="006F1B15"/>
    <w:rsid w:val="00702C83"/>
    <w:rsid w:val="007139A3"/>
    <w:rsid w:val="00726F2A"/>
    <w:rsid w:val="00740DF9"/>
    <w:rsid w:val="00742EC1"/>
    <w:rsid w:val="007647FC"/>
    <w:rsid w:val="00793493"/>
    <w:rsid w:val="007B610E"/>
    <w:rsid w:val="008221E1"/>
    <w:rsid w:val="00830BD8"/>
    <w:rsid w:val="0085196E"/>
    <w:rsid w:val="008522F8"/>
    <w:rsid w:val="00864EA7"/>
    <w:rsid w:val="00891224"/>
    <w:rsid w:val="0089541F"/>
    <w:rsid w:val="008A2CB0"/>
    <w:rsid w:val="008B2ACC"/>
    <w:rsid w:val="008B58A5"/>
    <w:rsid w:val="008C1667"/>
    <w:rsid w:val="008E3A69"/>
    <w:rsid w:val="009135CC"/>
    <w:rsid w:val="00913D3B"/>
    <w:rsid w:val="00915BC2"/>
    <w:rsid w:val="0091653E"/>
    <w:rsid w:val="00936274"/>
    <w:rsid w:val="00964903"/>
    <w:rsid w:val="00974250"/>
    <w:rsid w:val="009A0023"/>
    <w:rsid w:val="009C247B"/>
    <w:rsid w:val="009D6D94"/>
    <w:rsid w:val="00A11293"/>
    <w:rsid w:val="00A43D36"/>
    <w:rsid w:val="00A517E5"/>
    <w:rsid w:val="00A57632"/>
    <w:rsid w:val="00A7457B"/>
    <w:rsid w:val="00A833A0"/>
    <w:rsid w:val="00A964A8"/>
    <w:rsid w:val="00AE6A7C"/>
    <w:rsid w:val="00B01E2F"/>
    <w:rsid w:val="00B27D30"/>
    <w:rsid w:val="00B5694C"/>
    <w:rsid w:val="00B63DE0"/>
    <w:rsid w:val="00B708D0"/>
    <w:rsid w:val="00B750A3"/>
    <w:rsid w:val="00B80E78"/>
    <w:rsid w:val="00B81315"/>
    <w:rsid w:val="00B82E86"/>
    <w:rsid w:val="00B83D07"/>
    <w:rsid w:val="00B84AA5"/>
    <w:rsid w:val="00B8795A"/>
    <w:rsid w:val="00B933A7"/>
    <w:rsid w:val="00BA68D1"/>
    <w:rsid w:val="00BB7E2D"/>
    <w:rsid w:val="00BF1EC3"/>
    <w:rsid w:val="00BF46A5"/>
    <w:rsid w:val="00C06AF4"/>
    <w:rsid w:val="00C07C7D"/>
    <w:rsid w:val="00C274AF"/>
    <w:rsid w:val="00C37C31"/>
    <w:rsid w:val="00C429FE"/>
    <w:rsid w:val="00C46225"/>
    <w:rsid w:val="00C467CF"/>
    <w:rsid w:val="00C50E08"/>
    <w:rsid w:val="00C519A1"/>
    <w:rsid w:val="00C6641B"/>
    <w:rsid w:val="00C66E03"/>
    <w:rsid w:val="00C7399C"/>
    <w:rsid w:val="00C86BAA"/>
    <w:rsid w:val="00CB16F9"/>
    <w:rsid w:val="00CD0C2E"/>
    <w:rsid w:val="00CD1E23"/>
    <w:rsid w:val="00CE1624"/>
    <w:rsid w:val="00CF489B"/>
    <w:rsid w:val="00D0532D"/>
    <w:rsid w:val="00D165B0"/>
    <w:rsid w:val="00D24529"/>
    <w:rsid w:val="00D314BC"/>
    <w:rsid w:val="00D413DF"/>
    <w:rsid w:val="00D448C6"/>
    <w:rsid w:val="00D44E29"/>
    <w:rsid w:val="00D6477B"/>
    <w:rsid w:val="00D6793E"/>
    <w:rsid w:val="00D877FC"/>
    <w:rsid w:val="00D96A8E"/>
    <w:rsid w:val="00D96DC9"/>
    <w:rsid w:val="00D97D6E"/>
    <w:rsid w:val="00DB7F2F"/>
    <w:rsid w:val="00DD53F3"/>
    <w:rsid w:val="00DE3C33"/>
    <w:rsid w:val="00DE547A"/>
    <w:rsid w:val="00E03B10"/>
    <w:rsid w:val="00E2251B"/>
    <w:rsid w:val="00E27405"/>
    <w:rsid w:val="00E43C84"/>
    <w:rsid w:val="00E51DB8"/>
    <w:rsid w:val="00E640DC"/>
    <w:rsid w:val="00E71FC2"/>
    <w:rsid w:val="00E7764E"/>
    <w:rsid w:val="00E82BBF"/>
    <w:rsid w:val="00E85F97"/>
    <w:rsid w:val="00E8695A"/>
    <w:rsid w:val="00EA1905"/>
    <w:rsid w:val="00EA6D61"/>
    <w:rsid w:val="00EC5711"/>
    <w:rsid w:val="00F86539"/>
    <w:rsid w:val="00F866D4"/>
    <w:rsid w:val="00F93F0E"/>
    <w:rsid w:val="00F93F15"/>
    <w:rsid w:val="00FA0FFA"/>
    <w:rsid w:val="00FB2000"/>
    <w:rsid w:val="00FB31FF"/>
    <w:rsid w:val="00FD3048"/>
    <w:rsid w:val="00FE2CC6"/>
    <w:rsid w:val="00FE35B9"/>
    <w:rsid w:val="00FE4111"/>
    <w:rsid w:val="00FF174A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5C22-95BA-4E04-B998-3F0AB842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3</TotalTime>
  <Pages>7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Aniek Suharyati</cp:lastModifiedBy>
  <cp:revision>4</cp:revision>
  <cp:lastPrinted>2012-10-10T20:24:00Z</cp:lastPrinted>
  <dcterms:created xsi:type="dcterms:W3CDTF">2012-10-22T07:25:00Z</dcterms:created>
  <dcterms:modified xsi:type="dcterms:W3CDTF">2012-10-25T21:58:00Z</dcterms:modified>
</cp:coreProperties>
</file>